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D3318" w14:textId="77777777" w:rsidR="006379D2" w:rsidRPr="00337A94" w:rsidRDefault="007C133E" w:rsidP="005C3AF7">
      <w:pPr>
        <w:jc w:val="center"/>
        <w:rPr>
          <w:rFonts w:ascii="Verdana" w:hAnsi="Verdana" w:cs="Arial"/>
          <w:sz w:val="25"/>
          <w:szCs w:val="25"/>
          <w:lang w:val="es-MX"/>
        </w:rPr>
      </w:pPr>
      <w:bookmarkStart w:id="0" w:name="_GoBack"/>
      <w:bookmarkEnd w:id="0"/>
      <w:r w:rsidRPr="00337A94">
        <w:rPr>
          <w:rFonts w:ascii="Verdana" w:hAnsi="Verdana" w:cs="Arial"/>
          <w:sz w:val="25"/>
          <w:szCs w:val="25"/>
          <w:lang w:val="es-MX"/>
        </w:rPr>
        <w:t>Estado Libre Asociado de Puerto Rico</w:t>
      </w:r>
    </w:p>
    <w:p w14:paraId="2A5DF211" w14:textId="77777777" w:rsidR="006379D2" w:rsidRPr="00337A94" w:rsidRDefault="006379D2">
      <w:pPr>
        <w:jc w:val="center"/>
        <w:rPr>
          <w:rFonts w:ascii="Verdana" w:hAnsi="Verdana" w:cs="Arial"/>
          <w:sz w:val="25"/>
          <w:szCs w:val="25"/>
          <w:lang w:val="es-MX"/>
        </w:rPr>
      </w:pPr>
      <w:r w:rsidRPr="00337A94">
        <w:rPr>
          <w:rFonts w:ascii="Verdana" w:hAnsi="Verdana" w:cs="Arial"/>
          <w:sz w:val="25"/>
          <w:szCs w:val="25"/>
          <w:lang w:val="es-MX"/>
        </w:rPr>
        <w:t>TRIBUNAL DE APELACIONES</w:t>
      </w:r>
    </w:p>
    <w:p w14:paraId="711C418D" w14:textId="77777777" w:rsidR="001B4B45" w:rsidRPr="00337A94" w:rsidRDefault="007A7689">
      <w:pPr>
        <w:jc w:val="center"/>
        <w:rPr>
          <w:rFonts w:ascii="Verdana" w:hAnsi="Verdana" w:cs="Arial"/>
          <w:sz w:val="25"/>
          <w:szCs w:val="25"/>
          <w:lang w:val="es-MX"/>
        </w:rPr>
      </w:pPr>
      <w:r w:rsidRPr="00337A94">
        <w:rPr>
          <w:rFonts w:ascii="Verdana" w:hAnsi="Verdana" w:cs="Arial"/>
          <w:sz w:val="25"/>
          <w:szCs w:val="25"/>
          <w:lang w:val="es-MX"/>
        </w:rPr>
        <w:t xml:space="preserve">PANEL </w:t>
      </w:r>
      <w:r w:rsidR="00F008A3" w:rsidRPr="00337A94">
        <w:rPr>
          <w:rFonts w:ascii="Verdana" w:hAnsi="Verdana" w:cs="Arial"/>
          <w:sz w:val="25"/>
          <w:szCs w:val="25"/>
          <w:lang w:val="es-MX"/>
        </w:rPr>
        <w:t>VI</w:t>
      </w:r>
    </w:p>
    <w:p w14:paraId="640BB415" w14:textId="77777777" w:rsidR="00F123EF" w:rsidRPr="00337A94" w:rsidRDefault="00F123EF">
      <w:pPr>
        <w:jc w:val="center"/>
        <w:rPr>
          <w:rFonts w:ascii="Verdana" w:hAnsi="Verdana" w:cs="Arial"/>
          <w:sz w:val="25"/>
          <w:szCs w:val="25"/>
          <w:lang w:val="es-MX"/>
        </w:rPr>
      </w:pPr>
    </w:p>
    <w:tbl>
      <w:tblPr>
        <w:tblW w:w="8085" w:type="dxa"/>
        <w:tblLayout w:type="fixed"/>
        <w:tblCellMar>
          <w:left w:w="70" w:type="dxa"/>
          <w:right w:w="70" w:type="dxa"/>
        </w:tblCellMar>
        <w:tblLook w:val="0000" w:firstRow="0" w:lastRow="0" w:firstColumn="0" w:lastColumn="0" w:noHBand="0" w:noVBand="0"/>
      </w:tblPr>
      <w:tblGrid>
        <w:gridCol w:w="3490"/>
        <w:gridCol w:w="2270"/>
        <w:gridCol w:w="2325"/>
      </w:tblGrid>
      <w:tr w:rsidR="006379D2" w:rsidRPr="00337A94" w14:paraId="657A24DE" w14:textId="77777777" w:rsidTr="00337A94">
        <w:trPr>
          <w:trHeight w:val="3209"/>
        </w:trPr>
        <w:tc>
          <w:tcPr>
            <w:tcW w:w="3490" w:type="dxa"/>
            <w:tcBorders>
              <w:bottom w:val="single" w:sz="4" w:space="0" w:color="auto"/>
              <w:right w:val="single" w:sz="4" w:space="0" w:color="auto"/>
            </w:tcBorders>
          </w:tcPr>
          <w:p w14:paraId="30087F31" w14:textId="77777777" w:rsidR="0095061D" w:rsidRPr="00337A94" w:rsidRDefault="00FD435E" w:rsidP="00612435">
            <w:pPr>
              <w:jc w:val="center"/>
              <w:rPr>
                <w:rFonts w:ascii="Verdana" w:hAnsi="Verdana"/>
                <w:sz w:val="25"/>
                <w:szCs w:val="25"/>
                <w:lang w:val="es-MX"/>
              </w:rPr>
            </w:pPr>
            <w:r w:rsidRPr="00337A94">
              <w:rPr>
                <w:rFonts w:ascii="Verdana" w:hAnsi="Verdana"/>
                <w:sz w:val="25"/>
                <w:szCs w:val="25"/>
                <w:lang w:val="es-MX"/>
              </w:rPr>
              <w:t>EL PUEBLO DE PUERTO RICO</w:t>
            </w:r>
          </w:p>
          <w:p w14:paraId="5104546A" w14:textId="77777777" w:rsidR="00FD435E" w:rsidRPr="00337A94" w:rsidRDefault="00FD435E" w:rsidP="00612435">
            <w:pPr>
              <w:jc w:val="center"/>
              <w:rPr>
                <w:rFonts w:ascii="Verdana" w:hAnsi="Verdana"/>
                <w:sz w:val="25"/>
                <w:szCs w:val="25"/>
                <w:lang w:val="es-MX"/>
              </w:rPr>
            </w:pPr>
          </w:p>
          <w:p w14:paraId="2E2749A4" w14:textId="77777777" w:rsidR="00FD435E" w:rsidRPr="00337A94" w:rsidRDefault="00FD435E" w:rsidP="00612435">
            <w:pPr>
              <w:jc w:val="center"/>
              <w:rPr>
                <w:rFonts w:ascii="Verdana" w:hAnsi="Verdana"/>
                <w:sz w:val="25"/>
                <w:szCs w:val="25"/>
                <w:lang w:val="es-MX"/>
              </w:rPr>
            </w:pPr>
            <w:r w:rsidRPr="00337A94">
              <w:rPr>
                <w:rFonts w:ascii="Verdana" w:hAnsi="Verdana"/>
                <w:sz w:val="25"/>
                <w:szCs w:val="25"/>
                <w:lang w:val="es-MX"/>
              </w:rPr>
              <w:t>Recurrido</w:t>
            </w:r>
          </w:p>
          <w:p w14:paraId="3440D7F8" w14:textId="77777777" w:rsidR="006B54C2" w:rsidRPr="00337A94" w:rsidRDefault="006B54C2" w:rsidP="00612435">
            <w:pPr>
              <w:jc w:val="center"/>
              <w:rPr>
                <w:rFonts w:ascii="Verdana" w:hAnsi="Verdana"/>
                <w:sz w:val="25"/>
                <w:szCs w:val="25"/>
                <w:lang w:val="es-MX"/>
              </w:rPr>
            </w:pPr>
          </w:p>
          <w:p w14:paraId="36AA1232" w14:textId="77777777" w:rsidR="00FD435E" w:rsidRPr="00337A94" w:rsidRDefault="00FD435E" w:rsidP="00612435">
            <w:pPr>
              <w:jc w:val="center"/>
              <w:rPr>
                <w:rFonts w:ascii="Verdana" w:hAnsi="Verdana"/>
                <w:sz w:val="25"/>
                <w:szCs w:val="25"/>
                <w:lang w:val="es-MX"/>
              </w:rPr>
            </w:pPr>
          </w:p>
          <w:p w14:paraId="3588DE7B" w14:textId="77777777" w:rsidR="00612435" w:rsidRPr="00337A94" w:rsidRDefault="00612435" w:rsidP="00612435">
            <w:pPr>
              <w:jc w:val="center"/>
              <w:rPr>
                <w:rFonts w:ascii="Verdana" w:hAnsi="Verdana"/>
                <w:sz w:val="25"/>
                <w:szCs w:val="25"/>
              </w:rPr>
            </w:pPr>
            <w:r w:rsidRPr="00337A94">
              <w:rPr>
                <w:rFonts w:ascii="Verdana" w:hAnsi="Verdana"/>
                <w:sz w:val="25"/>
                <w:szCs w:val="25"/>
              </w:rPr>
              <w:t>v.</w:t>
            </w:r>
          </w:p>
          <w:p w14:paraId="5ECBF81D" w14:textId="77777777" w:rsidR="00612435" w:rsidRPr="00337A94" w:rsidRDefault="00612435" w:rsidP="00612435">
            <w:pPr>
              <w:jc w:val="center"/>
              <w:rPr>
                <w:rFonts w:ascii="Verdana" w:hAnsi="Verdana"/>
                <w:sz w:val="25"/>
                <w:szCs w:val="25"/>
              </w:rPr>
            </w:pPr>
          </w:p>
          <w:p w14:paraId="51FA4BCC" w14:textId="77777777" w:rsidR="00FD435E" w:rsidRPr="00337A94" w:rsidRDefault="00FD435E" w:rsidP="00612435">
            <w:pPr>
              <w:jc w:val="center"/>
              <w:rPr>
                <w:rFonts w:ascii="Verdana" w:hAnsi="Verdana"/>
                <w:sz w:val="25"/>
                <w:szCs w:val="25"/>
              </w:rPr>
            </w:pPr>
          </w:p>
          <w:p w14:paraId="0A3AB418" w14:textId="77777777" w:rsidR="006B54C2" w:rsidRPr="00337A94" w:rsidRDefault="00FD435E" w:rsidP="00612435">
            <w:pPr>
              <w:jc w:val="center"/>
              <w:rPr>
                <w:rFonts w:ascii="Verdana" w:hAnsi="Verdana"/>
                <w:sz w:val="25"/>
                <w:szCs w:val="25"/>
              </w:rPr>
            </w:pPr>
            <w:r w:rsidRPr="00337A94">
              <w:rPr>
                <w:rFonts w:ascii="Verdana" w:hAnsi="Verdana"/>
                <w:sz w:val="25"/>
                <w:szCs w:val="25"/>
              </w:rPr>
              <w:t>JENSEN MEDINA CARDONA</w:t>
            </w:r>
          </w:p>
          <w:p w14:paraId="091BAE2D" w14:textId="77777777" w:rsidR="00FD435E" w:rsidRPr="00337A94" w:rsidRDefault="00FD435E" w:rsidP="00612435">
            <w:pPr>
              <w:jc w:val="center"/>
              <w:rPr>
                <w:rFonts w:ascii="Verdana" w:hAnsi="Verdana"/>
                <w:sz w:val="25"/>
                <w:szCs w:val="25"/>
              </w:rPr>
            </w:pPr>
          </w:p>
          <w:p w14:paraId="05F5A355" w14:textId="77777777" w:rsidR="00FD435E" w:rsidRPr="00337A94" w:rsidRDefault="00FD435E" w:rsidP="00612435">
            <w:pPr>
              <w:jc w:val="center"/>
              <w:rPr>
                <w:rFonts w:ascii="Verdana" w:hAnsi="Verdana"/>
                <w:sz w:val="25"/>
                <w:szCs w:val="25"/>
              </w:rPr>
            </w:pPr>
            <w:r w:rsidRPr="00337A94">
              <w:rPr>
                <w:rFonts w:ascii="Verdana" w:hAnsi="Verdana"/>
                <w:sz w:val="25"/>
                <w:szCs w:val="25"/>
              </w:rPr>
              <w:t xml:space="preserve">Peticionario </w:t>
            </w:r>
          </w:p>
          <w:p w14:paraId="3B87A316" w14:textId="77777777" w:rsidR="0095061D" w:rsidRPr="00337A94" w:rsidRDefault="0095061D" w:rsidP="00CD673E">
            <w:pPr>
              <w:jc w:val="center"/>
              <w:rPr>
                <w:rFonts w:ascii="Verdana" w:hAnsi="Verdana" w:cs="Arial"/>
                <w:sz w:val="25"/>
                <w:szCs w:val="25"/>
              </w:rPr>
            </w:pPr>
          </w:p>
        </w:tc>
        <w:tc>
          <w:tcPr>
            <w:tcW w:w="2270" w:type="dxa"/>
            <w:tcBorders>
              <w:left w:val="single" w:sz="4" w:space="0" w:color="auto"/>
              <w:right w:val="single" w:sz="4" w:space="0" w:color="auto"/>
            </w:tcBorders>
          </w:tcPr>
          <w:p w14:paraId="5D88471A" w14:textId="77777777" w:rsidR="00FF3E92" w:rsidRPr="00337A94" w:rsidRDefault="00FF3E92" w:rsidP="00BE6802">
            <w:pPr>
              <w:rPr>
                <w:rFonts w:ascii="Verdana" w:hAnsi="Verdana" w:cs="Arial"/>
                <w:sz w:val="25"/>
                <w:szCs w:val="25"/>
              </w:rPr>
            </w:pPr>
          </w:p>
          <w:p w14:paraId="501C8E8E" w14:textId="77777777" w:rsidR="002C386F" w:rsidRPr="00337A94" w:rsidRDefault="002C386F" w:rsidP="00FF3E92">
            <w:pPr>
              <w:rPr>
                <w:rFonts w:ascii="Verdana" w:hAnsi="Verdana" w:cs="Arial"/>
                <w:sz w:val="25"/>
                <w:szCs w:val="25"/>
              </w:rPr>
            </w:pPr>
          </w:p>
          <w:p w14:paraId="7295BCD1" w14:textId="77777777" w:rsidR="002C386F" w:rsidRPr="00337A94" w:rsidRDefault="002C386F" w:rsidP="00FF3E92">
            <w:pPr>
              <w:rPr>
                <w:rFonts w:ascii="Verdana" w:hAnsi="Verdana" w:cs="Arial"/>
                <w:sz w:val="25"/>
                <w:szCs w:val="25"/>
              </w:rPr>
            </w:pPr>
          </w:p>
          <w:p w14:paraId="757998F5" w14:textId="77777777" w:rsidR="00216CD6" w:rsidRPr="00337A94" w:rsidRDefault="00216CD6" w:rsidP="006950AF">
            <w:pPr>
              <w:rPr>
                <w:rFonts w:ascii="Verdana" w:hAnsi="Verdana" w:cs="Arial"/>
                <w:sz w:val="25"/>
                <w:szCs w:val="25"/>
              </w:rPr>
            </w:pPr>
          </w:p>
          <w:p w14:paraId="54EDD2BC" w14:textId="77777777" w:rsidR="008E19C7" w:rsidRPr="00337A94" w:rsidRDefault="008E19C7" w:rsidP="00A615CB">
            <w:pPr>
              <w:jc w:val="center"/>
              <w:rPr>
                <w:rFonts w:ascii="Verdana" w:hAnsi="Verdana" w:cs="Arial"/>
                <w:sz w:val="25"/>
                <w:szCs w:val="25"/>
              </w:rPr>
            </w:pPr>
          </w:p>
          <w:p w14:paraId="42BA4725" w14:textId="77777777" w:rsidR="006971BE" w:rsidRPr="00337A94" w:rsidRDefault="00FB37C6" w:rsidP="00A615CB">
            <w:pPr>
              <w:jc w:val="center"/>
              <w:rPr>
                <w:rFonts w:ascii="Verdana" w:hAnsi="Verdana" w:cs="Arial"/>
                <w:sz w:val="25"/>
                <w:szCs w:val="25"/>
                <w:lang w:val="es-MX"/>
              </w:rPr>
            </w:pPr>
            <w:r w:rsidRPr="00337A94">
              <w:rPr>
                <w:rFonts w:ascii="Verdana" w:hAnsi="Verdana" w:cs="Arial"/>
                <w:sz w:val="25"/>
                <w:szCs w:val="25"/>
                <w:lang w:val="es-MX"/>
              </w:rPr>
              <w:t>KL</w:t>
            </w:r>
            <w:r w:rsidR="00FD435E" w:rsidRPr="00337A94">
              <w:rPr>
                <w:rFonts w:ascii="Verdana" w:hAnsi="Verdana" w:cs="Arial"/>
                <w:sz w:val="25"/>
                <w:szCs w:val="25"/>
                <w:lang w:val="es-MX"/>
              </w:rPr>
              <w:t>CE202100583</w:t>
            </w:r>
          </w:p>
        </w:tc>
        <w:tc>
          <w:tcPr>
            <w:tcW w:w="2325" w:type="dxa"/>
            <w:tcBorders>
              <w:left w:val="single" w:sz="4" w:space="0" w:color="auto"/>
              <w:bottom w:val="single" w:sz="4" w:space="0" w:color="auto"/>
            </w:tcBorders>
          </w:tcPr>
          <w:p w14:paraId="7F482FE7" w14:textId="77777777" w:rsidR="005255A9" w:rsidRPr="00337A94" w:rsidRDefault="00FD435E" w:rsidP="00612435">
            <w:pPr>
              <w:rPr>
                <w:rFonts w:ascii="Verdana" w:hAnsi="Verdana" w:cs="Arial"/>
                <w:sz w:val="25"/>
                <w:szCs w:val="25"/>
                <w:lang w:val="es-MX"/>
              </w:rPr>
            </w:pPr>
            <w:r w:rsidRPr="00337A94">
              <w:rPr>
                <w:rFonts w:ascii="Verdana" w:hAnsi="Verdana" w:cs="Arial"/>
                <w:i/>
                <w:iCs/>
                <w:sz w:val="25"/>
                <w:szCs w:val="25"/>
                <w:lang w:val="es-MX"/>
              </w:rPr>
              <w:t xml:space="preserve">CERTIORARI </w:t>
            </w:r>
            <w:r w:rsidR="005E6DD1" w:rsidRPr="00337A94">
              <w:rPr>
                <w:rFonts w:ascii="Verdana" w:hAnsi="Verdana" w:cs="Arial"/>
                <w:sz w:val="25"/>
                <w:szCs w:val="25"/>
                <w:lang w:val="es-MX"/>
              </w:rPr>
              <w:t xml:space="preserve">procedente </w:t>
            </w:r>
            <w:r w:rsidR="0095061D" w:rsidRPr="00337A94">
              <w:rPr>
                <w:rFonts w:ascii="Verdana" w:hAnsi="Verdana" w:cs="Arial"/>
                <w:sz w:val="25"/>
                <w:szCs w:val="25"/>
                <w:lang w:val="es-MX"/>
              </w:rPr>
              <w:t>de</w:t>
            </w:r>
            <w:r w:rsidRPr="00337A94">
              <w:rPr>
                <w:rFonts w:ascii="Verdana" w:hAnsi="Verdana" w:cs="Arial"/>
                <w:sz w:val="25"/>
                <w:szCs w:val="25"/>
                <w:lang w:val="es-MX"/>
              </w:rPr>
              <w:t>l Tribunal de Primera Instancia, Sala Superior de Fajardo</w:t>
            </w:r>
            <w:r w:rsidR="0095061D" w:rsidRPr="00337A94">
              <w:rPr>
                <w:rFonts w:ascii="Verdana" w:hAnsi="Verdana" w:cs="Arial"/>
                <w:sz w:val="25"/>
                <w:szCs w:val="25"/>
                <w:lang w:val="es-MX"/>
              </w:rPr>
              <w:t xml:space="preserve"> </w:t>
            </w:r>
          </w:p>
          <w:p w14:paraId="0F62AC7A" w14:textId="77777777" w:rsidR="00CD673E" w:rsidRPr="00337A94" w:rsidRDefault="00CD673E" w:rsidP="00612435">
            <w:pPr>
              <w:rPr>
                <w:rFonts w:ascii="Verdana" w:hAnsi="Verdana" w:cs="Arial"/>
                <w:sz w:val="25"/>
                <w:szCs w:val="25"/>
                <w:lang w:val="es-MX"/>
              </w:rPr>
            </w:pPr>
          </w:p>
          <w:p w14:paraId="577F8C07" w14:textId="77777777" w:rsidR="00F70511" w:rsidRPr="00337A94" w:rsidRDefault="00FD435E" w:rsidP="00612435">
            <w:pPr>
              <w:rPr>
                <w:rFonts w:ascii="Verdana" w:hAnsi="Verdana" w:cs="Arial"/>
                <w:sz w:val="25"/>
                <w:szCs w:val="25"/>
                <w:lang w:val="es-MX"/>
              </w:rPr>
            </w:pPr>
            <w:r w:rsidRPr="00337A94">
              <w:rPr>
                <w:rFonts w:ascii="Verdana" w:hAnsi="Verdana" w:cs="Arial"/>
                <w:sz w:val="25"/>
                <w:szCs w:val="25"/>
                <w:lang w:val="es-MX"/>
              </w:rPr>
              <w:t xml:space="preserve">Criminal </w:t>
            </w:r>
            <w:r w:rsidR="00F70511" w:rsidRPr="00337A94">
              <w:rPr>
                <w:rFonts w:ascii="Verdana" w:hAnsi="Verdana" w:cs="Arial"/>
                <w:sz w:val="25"/>
                <w:szCs w:val="25"/>
                <w:lang w:val="es-MX"/>
              </w:rPr>
              <w:t>número:</w:t>
            </w:r>
          </w:p>
          <w:p w14:paraId="532BBBDD" w14:textId="77777777" w:rsidR="00CD673E" w:rsidRPr="00337A94" w:rsidRDefault="00FD435E" w:rsidP="00612435">
            <w:pPr>
              <w:rPr>
                <w:rFonts w:ascii="Verdana" w:hAnsi="Verdana" w:cs="Arial"/>
                <w:sz w:val="25"/>
                <w:szCs w:val="25"/>
                <w:lang w:val="es-MX"/>
              </w:rPr>
            </w:pPr>
            <w:r w:rsidRPr="00337A94">
              <w:rPr>
                <w:rFonts w:ascii="Verdana" w:hAnsi="Verdana" w:cs="Arial"/>
                <w:sz w:val="25"/>
                <w:szCs w:val="25"/>
                <w:lang w:val="es-MX"/>
              </w:rPr>
              <w:t>NSCI202100036</w:t>
            </w:r>
          </w:p>
          <w:p w14:paraId="4FD2E686" w14:textId="77777777" w:rsidR="00FD435E" w:rsidRPr="00337A94" w:rsidRDefault="00FD435E" w:rsidP="00612435">
            <w:pPr>
              <w:rPr>
                <w:rFonts w:ascii="Verdana" w:hAnsi="Verdana" w:cs="Arial"/>
                <w:sz w:val="25"/>
                <w:szCs w:val="25"/>
                <w:lang w:val="es-MX"/>
              </w:rPr>
            </w:pPr>
          </w:p>
          <w:p w14:paraId="68E28954" w14:textId="77777777" w:rsidR="00F70511" w:rsidRPr="00337A94" w:rsidRDefault="00F70511" w:rsidP="00612435">
            <w:pPr>
              <w:rPr>
                <w:rFonts w:ascii="Verdana" w:hAnsi="Verdana" w:cs="Arial"/>
                <w:sz w:val="25"/>
                <w:szCs w:val="25"/>
                <w:lang w:val="es-MX"/>
              </w:rPr>
            </w:pPr>
            <w:r w:rsidRPr="00337A94">
              <w:rPr>
                <w:rFonts w:ascii="Verdana" w:hAnsi="Verdana" w:cs="Arial"/>
                <w:sz w:val="25"/>
                <w:szCs w:val="25"/>
                <w:lang w:val="es-MX"/>
              </w:rPr>
              <w:t>Sobre:</w:t>
            </w:r>
          </w:p>
          <w:p w14:paraId="55BB55DF" w14:textId="77777777" w:rsidR="006B54C2" w:rsidRPr="00337A94" w:rsidRDefault="00FD435E" w:rsidP="00ED14EC">
            <w:pPr>
              <w:rPr>
                <w:rFonts w:ascii="Verdana" w:hAnsi="Verdana" w:cs="Arial"/>
                <w:sz w:val="25"/>
                <w:szCs w:val="25"/>
                <w:lang w:val="es-MX"/>
              </w:rPr>
            </w:pPr>
            <w:r w:rsidRPr="00337A94">
              <w:rPr>
                <w:rFonts w:ascii="Verdana" w:hAnsi="Verdana" w:cs="Arial"/>
                <w:sz w:val="25"/>
                <w:szCs w:val="25"/>
                <w:lang w:val="es-MX"/>
              </w:rPr>
              <w:t>Art. 215 CP Aumento de Fianza</w:t>
            </w:r>
          </w:p>
          <w:p w14:paraId="0EDA3D9B" w14:textId="77777777" w:rsidR="00FD435E" w:rsidRPr="00337A94" w:rsidRDefault="00FD435E" w:rsidP="00ED14EC">
            <w:pPr>
              <w:rPr>
                <w:rFonts w:ascii="Verdana" w:hAnsi="Verdana" w:cs="Arial"/>
                <w:sz w:val="25"/>
                <w:szCs w:val="25"/>
                <w:lang w:val="es-MX"/>
              </w:rPr>
            </w:pPr>
          </w:p>
        </w:tc>
      </w:tr>
    </w:tbl>
    <w:p w14:paraId="19E55661" w14:textId="77777777" w:rsidR="00455328" w:rsidRPr="00717872" w:rsidRDefault="00455328" w:rsidP="00455328">
      <w:pPr>
        <w:jc w:val="both"/>
        <w:rPr>
          <w:rFonts w:ascii="Verdana" w:hAnsi="Verdana" w:cs="Arial"/>
          <w:sz w:val="25"/>
          <w:szCs w:val="25"/>
        </w:rPr>
      </w:pPr>
    </w:p>
    <w:p w14:paraId="0E2F9923" w14:textId="77777777" w:rsidR="006379D2" w:rsidRPr="00337A94" w:rsidRDefault="00820F8A" w:rsidP="00455328">
      <w:pPr>
        <w:jc w:val="both"/>
        <w:rPr>
          <w:rFonts w:ascii="Verdana" w:hAnsi="Verdana" w:cs="Arial"/>
          <w:sz w:val="25"/>
          <w:szCs w:val="25"/>
        </w:rPr>
      </w:pPr>
      <w:r w:rsidRPr="00337A94">
        <w:rPr>
          <w:rFonts w:ascii="Verdana" w:hAnsi="Verdana" w:cs="Arial"/>
          <w:sz w:val="25"/>
          <w:szCs w:val="25"/>
        </w:rPr>
        <w:t>Panel integrado por su president</w:t>
      </w:r>
      <w:r w:rsidR="007A7689" w:rsidRPr="00337A94">
        <w:rPr>
          <w:rFonts w:ascii="Verdana" w:hAnsi="Verdana" w:cs="Arial"/>
          <w:sz w:val="25"/>
          <w:szCs w:val="25"/>
        </w:rPr>
        <w:t>a</w:t>
      </w:r>
      <w:r w:rsidR="00FB37C6" w:rsidRPr="00337A94">
        <w:rPr>
          <w:rFonts w:ascii="Verdana" w:hAnsi="Verdana" w:cs="Arial"/>
          <w:sz w:val="25"/>
          <w:szCs w:val="25"/>
        </w:rPr>
        <w:t xml:space="preserve">, </w:t>
      </w:r>
      <w:r w:rsidR="007A7689" w:rsidRPr="00337A94">
        <w:rPr>
          <w:rFonts w:ascii="Verdana" w:hAnsi="Verdana" w:cs="Arial"/>
          <w:sz w:val="25"/>
          <w:szCs w:val="25"/>
        </w:rPr>
        <w:t>la jueza Birriel Cardona</w:t>
      </w:r>
      <w:r w:rsidR="00FB37C6" w:rsidRPr="00337A94">
        <w:rPr>
          <w:rFonts w:ascii="Verdana" w:hAnsi="Verdana" w:cs="Arial"/>
          <w:sz w:val="25"/>
          <w:szCs w:val="25"/>
        </w:rPr>
        <w:t xml:space="preserve">, y </w:t>
      </w:r>
      <w:r w:rsidR="00290A8E" w:rsidRPr="00337A94">
        <w:rPr>
          <w:rFonts w:ascii="Verdana" w:hAnsi="Verdana" w:cs="Arial"/>
          <w:sz w:val="25"/>
          <w:szCs w:val="25"/>
        </w:rPr>
        <w:t>el juez Bonilla Ortiz</w:t>
      </w:r>
      <w:r w:rsidR="00FB37C6" w:rsidRPr="00337A94">
        <w:rPr>
          <w:rFonts w:ascii="Verdana" w:hAnsi="Verdana" w:cs="Arial"/>
          <w:sz w:val="25"/>
          <w:szCs w:val="25"/>
        </w:rPr>
        <w:t xml:space="preserve"> y </w:t>
      </w:r>
      <w:r w:rsidR="00290A8E" w:rsidRPr="00337A94">
        <w:rPr>
          <w:rFonts w:ascii="Verdana" w:hAnsi="Verdana" w:cs="Arial"/>
          <w:sz w:val="25"/>
          <w:szCs w:val="25"/>
        </w:rPr>
        <w:t>la</w:t>
      </w:r>
      <w:r w:rsidR="007A7689" w:rsidRPr="00337A94">
        <w:rPr>
          <w:rFonts w:ascii="Verdana" w:hAnsi="Verdana" w:cs="Arial"/>
          <w:sz w:val="25"/>
          <w:szCs w:val="25"/>
        </w:rPr>
        <w:t xml:space="preserve"> juez </w:t>
      </w:r>
      <w:r w:rsidR="00290A8E" w:rsidRPr="00337A94">
        <w:rPr>
          <w:rFonts w:ascii="Verdana" w:hAnsi="Verdana" w:cs="Arial"/>
          <w:sz w:val="25"/>
          <w:szCs w:val="25"/>
        </w:rPr>
        <w:t>Cortés González</w:t>
      </w:r>
      <w:r w:rsidR="00FB37C6" w:rsidRPr="00337A94">
        <w:rPr>
          <w:rFonts w:ascii="Verdana" w:hAnsi="Verdana" w:cs="Arial"/>
          <w:sz w:val="25"/>
          <w:szCs w:val="25"/>
        </w:rPr>
        <w:t>.</w:t>
      </w:r>
    </w:p>
    <w:p w14:paraId="53129BA5" w14:textId="77777777" w:rsidR="009330CA" w:rsidRPr="00337A94" w:rsidRDefault="009330CA" w:rsidP="00455328">
      <w:pPr>
        <w:jc w:val="both"/>
        <w:rPr>
          <w:rFonts w:ascii="Verdana" w:hAnsi="Verdana" w:cs="Arial"/>
          <w:sz w:val="25"/>
          <w:szCs w:val="25"/>
        </w:rPr>
      </w:pPr>
    </w:p>
    <w:p w14:paraId="0BE9F12C" w14:textId="77777777" w:rsidR="009330CA" w:rsidRPr="00337A94" w:rsidRDefault="009330CA" w:rsidP="00455328">
      <w:pPr>
        <w:jc w:val="both"/>
        <w:rPr>
          <w:rFonts w:ascii="Verdana" w:hAnsi="Verdana" w:cs="Arial"/>
          <w:b/>
          <w:bCs/>
          <w:sz w:val="25"/>
          <w:szCs w:val="25"/>
        </w:rPr>
      </w:pPr>
      <w:r w:rsidRPr="00337A94">
        <w:rPr>
          <w:rFonts w:ascii="Verdana" w:hAnsi="Verdana" w:cs="Arial"/>
          <w:b/>
          <w:bCs/>
          <w:sz w:val="25"/>
          <w:szCs w:val="25"/>
        </w:rPr>
        <w:t>Birriel Cardona, Jueza Ponente</w:t>
      </w:r>
    </w:p>
    <w:p w14:paraId="28D5CB80" w14:textId="77777777" w:rsidR="00B31D24" w:rsidRPr="00290A8E" w:rsidRDefault="00B31D24" w:rsidP="003C1010">
      <w:pPr>
        <w:pStyle w:val="Heading1"/>
        <w:jc w:val="left"/>
        <w:rPr>
          <w:rFonts w:ascii="Verdana" w:hAnsi="Verdana" w:cs="Arial"/>
          <w:szCs w:val="24"/>
          <w:u w:val="none"/>
          <w:lang w:val="es-PR"/>
        </w:rPr>
      </w:pPr>
    </w:p>
    <w:p w14:paraId="2CECAEEA" w14:textId="77777777" w:rsidR="006379D2" w:rsidRPr="00357989" w:rsidRDefault="009330CA">
      <w:pPr>
        <w:pStyle w:val="Heading1"/>
        <w:rPr>
          <w:rFonts w:ascii="Verdana" w:hAnsi="Verdana" w:cs="Arial"/>
          <w:szCs w:val="24"/>
          <w:u w:val="none"/>
        </w:rPr>
      </w:pPr>
      <w:r>
        <w:rPr>
          <w:rFonts w:ascii="Verdana" w:hAnsi="Verdana" w:cs="Arial"/>
          <w:spacing w:val="50"/>
          <w:sz w:val="28"/>
          <w:szCs w:val="28"/>
          <w:u w:val="none"/>
        </w:rPr>
        <w:t>SENTENCIA</w:t>
      </w:r>
    </w:p>
    <w:p w14:paraId="0EFF1071" w14:textId="77777777" w:rsidR="006379D2" w:rsidRPr="00357989" w:rsidRDefault="006379D2">
      <w:pPr>
        <w:rPr>
          <w:rFonts w:ascii="Verdana" w:hAnsi="Verdana" w:cs="Arial"/>
          <w:lang w:val="es-MX"/>
        </w:rPr>
      </w:pPr>
    </w:p>
    <w:p w14:paraId="6A2672D3" w14:textId="3AB02D95" w:rsidR="00123571" w:rsidRDefault="005C3AF7" w:rsidP="00455328">
      <w:pPr>
        <w:spacing w:line="480" w:lineRule="auto"/>
        <w:contextualSpacing/>
        <w:rPr>
          <w:rFonts w:ascii="Verdana" w:hAnsi="Verdana" w:cs="Arial"/>
          <w:lang w:val="es-MX"/>
        </w:rPr>
      </w:pPr>
      <w:r w:rsidRPr="002916CA">
        <w:rPr>
          <w:rFonts w:ascii="Verdana" w:hAnsi="Verdana" w:cs="Arial"/>
          <w:lang w:val="es-MX"/>
        </w:rPr>
        <w:t xml:space="preserve">En San Juan, Puerto Rico, a </w:t>
      </w:r>
      <w:r w:rsidR="00D20A9C">
        <w:rPr>
          <w:rFonts w:ascii="Verdana" w:hAnsi="Verdana" w:cs="Arial"/>
          <w:lang w:val="es-MX"/>
        </w:rPr>
        <w:t>26</w:t>
      </w:r>
      <w:r w:rsidR="007B529F" w:rsidRPr="002916CA">
        <w:rPr>
          <w:rFonts w:ascii="Verdana" w:hAnsi="Verdana" w:cs="Arial"/>
          <w:lang w:val="es-MX"/>
        </w:rPr>
        <w:t xml:space="preserve"> </w:t>
      </w:r>
      <w:r w:rsidR="006379D2" w:rsidRPr="002916CA">
        <w:rPr>
          <w:rFonts w:ascii="Verdana" w:hAnsi="Verdana" w:cs="Arial"/>
          <w:lang w:val="es-MX"/>
        </w:rPr>
        <w:t xml:space="preserve">de </w:t>
      </w:r>
      <w:r w:rsidR="00CF50D6" w:rsidRPr="002916CA">
        <w:rPr>
          <w:rFonts w:ascii="Verdana" w:hAnsi="Verdana" w:cs="Arial"/>
          <w:lang w:val="es-MX"/>
        </w:rPr>
        <w:t>mayo</w:t>
      </w:r>
      <w:r w:rsidR="0058529F" w:rsidRPr="002916CA">
        <w:rPr>
          <w:rFonts w:ascii="Verdana" w:hAnsi="Verdana" w:cs="Arial"/>
          <w:lang w:val="es-MX"/>
        </w:rPr>
        <w:t xml:space="preserve"> de 20</w:t>
      </w:r>
      <w:r w:rsidR="00F27DAB" w:rsidRPr="002916CA">
        <w:rPr>
          <w:rFonts w:ascii="Verdana" w:hAnsi="Verdana" w:cs="Arial"/>
          <w:lang w:val="es-MX"/>
        </w:rPr>
        <w:t>2</w:t>
      </w:r>
      <w:r w:rsidR="00DF2384" w:rsidRPr="002916CA">
        <w:rPr>
          <w:rFonts w:ascii="Verdana" w:hAnsi="Verdana" w:cs="Arial"/>
          <w:lang w:val="es-MX"/>
        </w:rPr>
        <w:t>1</w:t>
      </w:r>
      <w:r w:rsidR="007763B6" w:rsidRPr="002916CA">
        <w:rPr>
          <w:rFonts w:ascii="Verdana" w:hAnsi="Verdana" w:cs="Arial"/>
          <w:lang w:val="es-MX"/>
        </w:rPr>
        <w:t>.</w:t>
      </w:r>
    </w:p>
    <w:p w14:paraId="600FF632" w14:textId="48A64AB1" w:rsidR="00717872" w:rsidRDefault="009330CA" w:rsidP="009330CA">
      <w:pPr>
        <w:spacing w:line="480" w:lineRule="auto"/>
        <w:contextualSpacing/>
        <w:jc w:val="both"/>
        <w:rPr>
          <w:rFonts w:ascii="Verdana" w:hAnsi="Verdana" w:cs="Arial"/>
          <w:lang w:val="es-MX"/>
        </w:rPr>
      </w:pPr>
      <w:r>
        <w:rPr>
          <w:rFonts w:ascii="Verdana" w:hAnsi="Verdana" w:cs="Arial"/>
          <w:lang w:val="es-MX"/>
        </w:rPr>
        <w:tab/>
        <w:t xml:space="preserve">Mediante recurso de </w:t>
      </w:r>
      <w:r>
        <w:rPr>
          <w:rFonts w:ascii="Verdana" w:hAnsi="Verdana" w:cs="Arial"/>
          <w:i/>
          <w:iCs/>
          <w:lang w:val="es-MX"/>
        </w:rPr>
        <w:t>certiorari</w:t>
      </w:r>
      <w:r>
        <w:rPr>
          <w:rFonts w:ascii="Verdana" w:hAnsi="Verdana" w:cs="Arial"/>
          <w:lang w:val="es-MX"/>
        </w:rPr>
        <w:t xml:space="preserve">, comparece el señor Jensen Medina Cardona (“señor Medina” o “peticionario”) y </w:t>
      </w:r>
      <w:r w:rsidR="00717872">
        <w:rPr>
          <w:rFonts w:ascii="Verdana" w:hAnsi="Verdana" w:cs="Arial"/>
          <w:lang w:val="es-MX"/>
        </w:rPr>
        <w:t>solicita nuestra intervención para</w:t>
      </w:r>
      <w:r>
        <w:rPr>
          <w:rFonts w:ascii="Verdana" w:hAnsi="Verdana" w:cs="Arial"/>
          <w:lang w:val="es-MX"/>
        </w:rPr>
        <w:t xml:space="preserve"> que revisemos</w:t>
      </w:r>
      <w:r w:rsidR="005804D3">
        <w:rPr>
          <w:rFonts w:ascii="Verdana" w:hAnsi="Verdana" w:cs="Arial"/>
          <w:lang w:val="es-MX"/>
        </w:rPr>
        <w:t xml:space="preserve"> una </w:t>
      </w:r>
      <w:r w:rsidR="005804D3">
        <w:rPr>
          <w:rFonts w:ascii="Verdana" w:hAnsi="Verdana" w:cs="Arial"/>
          <w:i/>
          <w:iCs/>
          <w:lang w:val="es-MX"/>
        </w:rPr>
        <w:t xml:space="preserve">Resolución </w:t>
      </w:r>
      <w:r w:rsidR="005804D3">
        <w:rPr>
          <w:rFonts w:ascii="Verdana" w:hAnsi="Verdana" w:cs="Arial"/>
          <w:lang w:val="es-MX"/>
        </w:rPr>
        <w:t xml:space="preserve">emitida el 7 de mayo de 2021 y notificada el mismo día por el Tribunal de Primera Instancia, Sala Superior de Fajardo (“TPI”). En </w:t>
      </w:r>
      <w:r w:rsidR="00DE29B8">
        <w:rPr>
          <w:rFonts w:ascii="Verdana" w:hAnsi="Verdana" w:cs="Arial"/>
          <w:lang w:val="es-MX"/>
        </w:rPr>
        <w:t>dicho</w:t>
      </w:r>
      <w:r w:rsidR="00F15B78">
        <w:rPr>
          <w:rFonts w:ascii="Verdana" w:hAnsi="Verdana" w:cs="Arial"/>
          <w:lang w:val="es-MX"/>
        </w:rPr>
        <w:t xml:space="preserve"> dictamen</w:t>
      </w:r>
      <w:r w:rsidR="005804D3">
        <w:rPr>
          <w:rFonts w:ascii="Verdana" w:hAnsi="Verdana" w:cs="Arial"/>
          <w:lang w:val="es-MX"/>
        </w:rPr>
        <w:t>, el</w:t>
      </w:r>
      <w:r w:rsidR="00717872">
        <w:rPr>
          <w:rFonts w:ascii="Verdana" w:hAnsi="Verdana" w:cs="Arial"/>
          <w:lang w:val="es-MX"/>
        </w:rPr>
        <w:t xml:space="preserve"> TPI</w:t>
      </w:r>
      <w:r w:rsidR="005804D3">
        <w:rPr>
          <w:rFonts w:ascii="Verdana" w:hAnsi="Verdana" w:cs="Arial"/>
          <w:lang w:val="es-MX"/>
        </w:rPr>
        <w:t xml:space="preserve"> modificó la fianza</w:t>
      </w:r>
      <w:r w:rsidR="00DE29B8">
        <w:rPr>
          <w:rFonts w:ascii="Verdana" w:hAnsi="Verdana" w:cs="Arial"/>
          <w:lang w:val="es-MX"/>
        </w:rPr>
        <w:t xml:space="preserve"> de $3,500.00</w:t>
      </w:r>
      <w:r w:rsidR="005804D3">
        <w:rPr>
          <w:rFonts w:ascii="Verdana" w:hAnsi="Verdana" w:cs="Arial"/>
          <w:lang w:val="es-MX"/>
        </w:rPr>
        <w:t xml:space="preserve"> </w:t>
      </w:r>
      <w:r w:rsidR="00F15B78">
        <w:rPr>
          <w:rFonts w:ascii="Verdana" w:hAnsi="Verdana" w:cs="Arial"/>
          <w:lang w:val="es-MX"/>
        </w:rPr>
        <w:t>que se le impuso</w:t>
      </w:r>
      <w:r w:rsidR="00717872">
        <w:rPr>
          <w:rFonts w:ascii="Verdana" w:hAnsi="Verdana" w:cs="Arial"/>
          <w:lang w:val="es-MX"/>
        </w:rPr>
        <w:t xml:space="preserve"> al </w:t>
      </w:r>
      <w:r w:rsidR="00754B77">
        <w:rPr>
          <w:rFonts w:ascii="Verdana" w:hAnsi="Verdana" w:cs="Arial"/>
          <w:lang w:val="es-MX"/>
        </w:rPr>
        <w:t>señor Medina Cardona</w:t>
      </w:r>
      <w:r w:rsidR="00DE29B8">
        <w:rPr>
          <w:rFonts w:ascii="Verdana" w:hAnsi="Verdana" w:cs="Arial"/>
          <w:lang w:val="es-MX"/>
        </w:rPr>
        <w:t xml:space="preserve"> </w:t>
      </w:r>
      <w:r w:rsidR="00717872">
        <w:rPr>
          <w:rFonts w:ascii="Verdana" w:hAnsi="Verdana" w:cs="Arial"/>
          <w:lang w:val="es-MX"/>
        </w:rPr>
        <w:t>el 5 de mayo de 2021</w:t>
      </w:r>
      <w:r w:rsidR="00AD650E">
        <w:rPr>
          <w:rFonts w:ascii="Verdana" w:hAnsi="Verdana" w:cs="Arial"/>
          <w:lang w:val="es-MX"/>
        </w:rPr>
        <w:t xml:space="preserve">, aumentándola a $250,000.00. </w:t>
      </w:r>
      <w:r w:rsidR="00F15B78">
        <w:rPr>
          <w:rFonts w:ascii="Verdana" w:hAnsi="Verdana" w:cs="Arial"/>
          <w:lang w:val="es-MX"/>
        </w:rPr>
        <w:t xml:space="preserve"> </w:t>
      </w:r>
      <w:r w:rsidR="00717872">
        <w:rPr>
          <w:rFonts w:ascii="Verdana" w:hAnsi="Verdana" w:cs="Arial"/>
          <w:lang w:val="es-MX"/>
        </w:rPr>
        <w:t xml:space="preserve"> </w:t>
      </w:r>
    </w:p>
    <w:p w14:paraId="5F64CB6E" w14:textId="330B5A1E" w:rsidR="009330CA" w:rsidRDefault="00717872" w:rsidP="00627D08">
      <w:pPr>
        <w:spacing w:line="480" w:lineRule="auto"/>
        <w:ind w:firstLine="720"/>
        <w:contextualSpacing/>
        <w:jc w:val="both"/>
        <w:rPr>
          <w:rFonts w:ascii="Verdana" w:hAnsi="Verdana" w:cs="Arial"/>
          <w:lang w:val="es-MX"/>
        </w:rPr>
      </w:pPr>
      <w:r>
        <w:rPr>
          <w:rFonts w:ascii="Verdana" w:hAnsi="Verdana" w:cs="Arial"/>
          <w:lang w:val="es-MX"/>
        </w:rPr>
        <w:t xml:space="preserve">Por los fundamentos que expondremos a continuación, se expide el auto de </w:t>
      </w:r>
      <w:r>
        <w:rPr>
          <w:rFonts w:ascii="Verdana" w:hAnsi="Verdana" w:cs="Arial"/>
          <w:i/>
          <w:iCs/>
          <w:lang w:val="es-MX"/>
        </w:rPr>
        <w:t xml:space="preserve">certiorari </w:t>
      </w:r>
      <w:r>
        <w:rPr>
          <w:rFonts w:ascii="Verdana" w:hAnsi="Verdana" w:cs="Arial"/>
          <w:lang w:val="es-MX"/>
        </w:rPr>
        <w:t xml:space="preserve">y se </w:t>
      </w:r>
      <w:r w:rsidRPr="00717872">
        <w:rPr>
          <w:rFonts w:ascii="Verdana" w:hAnsi="Verdana" w:cs="Arial"/>
          <w:b/>
          <w:bCs/>
          <w:lang w:val="es-MX"/>
        </w:rPr>
        <w:t>revoca</w:t>
      </w:r>
      <w:r>
        <w:rPr>
          <w:rFonts w:ascii="Verdana" w:hAnsi="Verdana" w:cs="Arial"/>
          <w:lang w:val="es-MX"/>
        </w:rPr>
        <w:t xml:space="preserve"> la </w:t>
      </w:r>
      <w:r>
        <w:rPr>
          <w:rFonts w:ascii="Verdana" w:hAnsi="Verdana" w:cs="Arial"/>
          <w:i/>
          <w:iCs/>
          <w:lang w:val="es-MX"/>
        </w:rPr>
        <w:t xml:space="preserve">Resolución </w:t>
      </w:r>
      <w:r>
        <w:rPr>
          <w:rFonts w:ascii="Verdana" w:hAnsi="Verdana" w:cs="Arial"/>
          <w:lang w:val="es-MX"/>
        </w:rPr>
        <w:t xml:space="preserve">recurrida.   </w:t>
      </w:r>
      <w:r w:rsidR="009330CA">
        <w:rPr>
          <w:rFonts w:ascii="Verdana" w:hAnsi="Verdana" w:cs="Arial"/>
          <w:lang w:val="es-MX"/>
        </w:rPr>
        <w:t xml:space="preserve"> </w:t>
      </w:r>
    </w:p>
    <w:p w14:paraId="38DD310C" w14:textId="77777777" w:rsidR="009330CA" w:rsidRDefault="009330CA" w:rsidP="009330CA">
      <w:pPr>
        <w:spacing w:line="480" w:lineRule="auto"/>
        <w:contextualSpacing/>
        <w:jc w:val="center"/>
        <w:rPr>
          <w:rFonts w:ascii="Verdana" w:hAnsi="Verdana" w:cs="Arial"/>
          <w:b/>
          <w:bCs/>
          <w:lang w:val="es-MX"/>
        </w:rPr>
      </w:pPr>
      <w:r>
        <w:rPr>
          <w:rFonts w:ascii="Verdana" w:hAnsi="Verdana" w:cs="Arial"/>
          <w:b/>
          <w:bCs/>
          <w:lang w:val="es-MX"/>
        </w:rPr>
        <w:t>-I-</w:t>
      </w:r>
    </w:p>
    <w:p w14:paraId="166D6971" w14:textId="364BB5AC" w:rsidR="00A442F1" w:rsidRDefault="001B08E7" w:rsidP="00627D08">
      <w:pPr>
        <w:spacing w:line="480" w:lineRule="auto"/>
        <w:ind w:firstLine="720"/>
        <w:contextualSpacing/>
        <w:jc w:val="both"/>
        <w:rPr>
          <w:rFonts w:ascii="Verdana" w:hAnsi="Verdana" w:cs="Arial"/>
          <w:lang w:val="es-MX"/>
        </w:rPr>
      </w:pPr>
      <w:r>
        <w:rPr>
          <w:rFonts w:ascii="Verdana" w:hAnsi="Verdana" w:cs="Arial"/>
          <w:lang w:val="es-MX"/>
        </w:rPr>
        <w:t>El 5 de mayo de 2021, el Ministerio Público sometió</w:t>
      </w:r>
      <w:r w:rsidR="00E6274B">
        <w:rPr>
          <w:rFonts w:ascii="Verdana" w:hAnsi="Verdana" w:cs="Arial"/>
          <w:lang w:val="es-MX"/>
        </w:rPr>
        <w:t xml:space="preserve"> una denuncia contra el </w:t>
      </w:r>
      <w:r w:rsidR="00F23672">
        <w:rPr>
          <w:rFonts w:ascii="Verdana" w:hAnsi="Verdana" w:cs="Arial"/>
          <w:lang w:val="es-MX"/>
        </w:rPr>
        <w:t>señor Medina</w:t>
      </w:r>
      <w:r w:rsidR="00E6274B">
        <w:rPr>
          <w:rFonts w:ascii="Verdana" w:hAnsi="Verdana" w:cs="Arial"/>
          <w:lang w:val="es-MX"/>
        </w:rPr>
        <w:t xml:space="preserve"> por </w:t>
      </w:r>
      <w:r>
        <w:rPr>
          <w:rFonts w:ascii="Verdana" w:hAnsi="Verdana" w:cs="Arial"/>
          <w:lang w:val="es-MX"/>
        </w:rPr>
        <w:t>violación al</w:t>
      </w:r>
      <w:r w:rsidR="00E6274B">
        <w:rPr>
          <w:rFonts w:ascii="Verdana" w:hAnsi="Verdana" w:cs="Arial"/>
          <w:lang w:val="es-MX"/>
        </w:rPr>
        <w:t xml:space="preserve"> Art. 215 del </w:t>
      </w:r>
      <w:r w:rsidR="00E6274B">
        <w:rPr>
          <w:rFonts w:ascii="Verdana" w:hAnsi="Verdana" w:cs="Arial"/>
          <w:lang w:val="es-MX"/>
        </w:rPr>
        <w:lastRenderedPageBreak/>
        <w:t>Código Penal de 2012 (falsificación de licencia, certificado y otra documentación), 33 LPRA sec. 5285.</w:t>
      </w:r>
      <w:r w:rsidR="00F23672">
        <w:rPr>
          <w:rFonts w:ascii="Verdana" w:hAnsi="Verdana" w:cs="Arial"/>
          <w:lang w:val="es-MX"/>
        </w:rPr>
        <w:t xml:space="preserve"> E</w:t>
      </w:r>
      <w:r w:rsidR="00A442F1">
        <w:rPr>
          <w:rFonts w:ascii="Verdana" w:hAnsi="Verdana" w:cs="Arial"/>
          <w:lang w:val="es-MX"/>
        </w:rPr>
        <w:t>n síntesis</w:t>
      </w:r>
      <w:r>
        <w:rPr>
          <w:rFonts w:ascii="Verdana" w:hAnsi="Verdana" w:cs="Arial"/>
          <w:lang w:val="es-MX"/>
        </w:rPr>
        <w:t>, se</w:t>
      </w:r>
      <w:r w:rsidR="00507920">
        <w:rPr>
          <w:rFonts w:ascii="Verdana" w:hAnsi="Verdana" w:cs="Arial"/>
          <w:lang w:val="es-MX"/>
        </w:rPr>
        <w:t xml:space="preserve"> le imputó haber presentado, el 21 de agosto de 2019, una licencia de conducir falsificada ante la Oficina del Programa de Servicios con Antelación a Juicio (“PSAJ”) de Fajardo</w:t>
      </w:r>
      <w:r w:rsidR="00042BE8">
        <w:rPr>
          <w:rFonts w:ascii="Verdana" w:hAnsi="Verdana" w:cs="Arial"/>
          <w:lang w:val="es-MX"/>
        </w:rPr>
        <w:t xml:space="preserve">; ello, mientras la referida entidad evaluaba al señor Medina </w:t>
      </w:r>
      <w:r w:rsidR="00A442F1">
        <w:rPr>
          <w:rFonts w:ascii="Verdana" w:hAnsi="Verdana" w:cs="Arial"/>
          <w:lang w:val="es-MX"/>
        </w:rPr>
        <w:t>con relación a otro proceso penal que este enfrenta</w:t>
      </w:r>
      <w:r w:rsidR="00507920">
        <w:rPr>
          <w:rFonts w:ascii="Verdana" w:hAnsi="Verdana" w:cs="Arial"/>
          <w:lang w:val="es-MX"/>
        </w:rPr>
        <w:t>.</w:t>
      </w:r>
      <w:r w:rsidR="00507920">
        <w:rPr>
          <w:rStyle w:val="FootnoteReference"/>
          <w:rFonts w:ascii="Verdana" w:hAnsi="Verdana" w:cs="Arial"/>
          <w:lang w:val="es-MX"/>
        </w:rPr>
        <w:footnoteReference w:id="1"/>
      </w:r>
      <w:r w:rsidR="00A442F1">
        <w:rPr>
          <w:rFonts w:ascii="Verdana" w:hAnsi="Verdana" w:cs="Arial"/>
          <w:lang w:val="es-MX"/>
        </w:rPr>
        <w:t xml:space="preserve"> </w:t>
      </w:r>
    </w:p>
    <w:p w14:paraId="0078866C" w14:textId="46C14672" w:rsidR="009C21F0" w:rsidRDefault="00A442F1" w:rsidP="00627D08">
      <w:pPr>
        <w:spacing w:line="480" w:lineRule="auto"/>
        <w:ind w:firstLine="720"/>
        <w:contextualSpacing/>
        <w:jc w:val="both"/>
        <w:rPr>
          <w:rFonts w:ascii="Verdana" w:hAnsi="Verdana" w:cs="Arial"/>
          <w:lang w:val="es-MX"/>
        </w:rPr>
      </w:pPr>
      <w:r>
        <w:rPr>
          <w:rFonts w:ascii="Verdana" w:hAnsi="Verdana" w:cs="Arial"/>
          <w:lang w:val="es-MX"/>
        </w:rPr>
        <w:t>Ese mismo 5 de mayo de 2021</w:t>
      </w:r>
      <w:r w:rsidR="00DF278D">
        <w:rPr>
          <w:rFonts w:ascii="Verdana" w:hAnsi="Verdana" w:cs="Arial"/>
          <w:lang w:val="es-MX"/>
        </w:rPr>
        <w:t>,</w:t>
      </w:r>
      <w:r w:rsidR="00DE7150">
        <w:rPr>
          <w:rFonts w:ascii="Verdana" w:hAnsi="Verdana" w:cs="Arial"/>
          <w:lang w:val="es-MX"/>
        </w:rPr>
        <w:t xml:space="preserve"> se </w:t>
      </w:r>
      <w:r w:rsidR="00042BE8">
        <w:rPr>
          <w:rFonts w:ascii="Verdana" w:hAnsi="Verdana" w:cs="Arial"/>
          <w:lang w:val="es-MX"/>
        </w:rPr>
        <w:t>celebró</w:t>
      </w:r>
      <w:r w:rsidR="00DE7150">
        <w:rPr>
          <w:rFonts w:ascii="Verdana" w:hAnsi="Verdana" w:cs="Arial"/>
          <w:lang w:val="es-MX"/>
        </w:rPr>
        <w:t xml:space="preserve"> </w:t>
      </w:r>
      <w:r>
        <w:rPr>
          <w:rFonts w:ascii="Verdana" w:hAnsi="Verdana" w:cs="Arial"/>
          <w:lang w:val="es-MX"/>
        </w:rPr>
        <w:t xml:space="preserve">la </w:t>
      </w:r>
      <w:r w:rsidR="00DE7150">
        <w:rPr>
          <w:rFonts w:ascii="Verdana" w:hAnsi="Verdana" w:cs="Arial"/>
          <w:lang w:val="es-MX"/>
        </w:rPr>
        <w:t>vista de causa para arresto</w:t>
      </w:r>
      <w:r w:rsidR="00042BE8">
        <w:rPr>
          <w:rFonts w:ascii="Verdana" w:hAnsi="Verdana" w:cs="Arial"/>
          <w:lang w:val="es-MX"/>
        </w:rPr>
        <w:t xml:space="preserve"> por el delito imputado</w:t>
      </w:r>
      <w:r w:rsidR="002A4882">
        <w:rPr>
          <w:rFonts w:ascii="Verdana" w:hAnsi="Verdana" w:cs="Arial"/>
          <w:lang w:val="es-MX"/>
        </w:rPr>
        <w:t xml:space="preserve">. A dicha audiencia, </w:t>
      </w:r>
      <w:r w:rsidR="00042BE8">
        <w:rPr>
          <w:rFonts w:ascii="Verdana" w:hAnsi="Verdana" w:cs="Arial"/>
          <w:lang w:val="es-MX"/>
        </w:rPr>
        <w:t xml:space="preserve">compareció </w:t>
      </w:r>
      <w:r w:rsidR="002A4882">
        <w:rPr>
          <w:rFonts w:ascii="Verdana" w:hAnsi="Verdana" w:cs="Arial"/>
          <w:lang w:val="es-MX"/>
        </w:rPr>
        <w:t xml:space="preserve">el peticionario </w:t>
      </w:r>
      <w:r w:rsidR="00627D08">
        <w:rPr>
          <w:rFonts w:ascii="Verdana" w:hAnsi="Verdana" w:cs="Arial"/>
          <w:lang w:val="es-MX"/>
        </w:rPr>
        <w:t xml:space="preserve">acompañado </w:t>
      </w:r>
      <w:r w:rsidR="002A4882">
        <w:rPr>
          <w:rFonts w:ascii="Verdana" w:hAnsi="Verdana" w:cs="Arial"/>
          <w:lang w:val="es-MX"/>
        </w:rPr>
        <w:t xml:space="preserve">de su representación legal y se </w:t>
      </w:r>
      <w:r w:rsidR="002A4882" w:rsidRPr="002A4882">
        <w:rPr>
          <w:rFonts w:ascii="Verdana" w:hAnsi="Verdana" w:cs="Arial"/>
          <w:b/>
          <w:bCs/>
          <w:lang w:val="es-MX"/>
        </w:rPr>
        <w:t>allanó</w:t>
      </w:r>
      <w:r w:rsidR="002A4882">
        <w:rPr>
          <w:rFonts w:ascii="Verdana" w:hAnsi="Verdana" w:cs="Arial"/>
          <w:lang w:val="es-MX"/>
        </w:rPr>
        <w:t xml:space="preserve"> a que se determinara </w:t>
      </w:r>
      <w:r w:rsidR="002A4882">
        <w:rPr>
          <w:rFonts w:ascii="Verdana" w:hAnsi="Verdana" w:cs="Arial"/>
          <w:i/>
          <w:iCs/>
          <w:lang w:val="es-MX"/>
        </w:rPr>
        <w:t>causa</w:t>
      </w:r>
      <w:r w:rsidR="002A4882">
        <w:rPr>
          <w:rFonts w:ascii="Verdana" w:hAnsi="Verdana" w:cs="Arial"/>
          <w:lang w:val="es-MX"/>
        </w:rPr>
        <w:t xml:space="preserve"> en su contra.</w:t>
      </w:r>
      <w:r>
        <w:rPr>
          <w:rFonts w:ascii="Verdana" w:hAnsi="Verdana" w:cs="Arial"/>
          <w:lang w:val="es-MX"/>
        </w:rPr>
        <w:t xml:space="preserve"> Así pues, tras examinar el informe confidencial preparado por el PSAJ, el </w:t>
      </w:r>
      <w:r w:rsidR="00627D08">
        <w:rPr>
          <w:rFonts w:ascii="Verdana" w:hAnsi="Verdana" w:cs="Arial"/>
          <w:lang w:val="es-MX"/>
        </w:rPr>
        <w:t>foro primario</w:t>
      </w:r>
      <w:r>
        <w:rPr>
          <w:rFonts w:ascii="Verdana" w:hAnsi="Verdana" w:cs="Arial"/>
          <w:lang w:val="es-MX"/>
        </w:rPr>
        <w:t xml:space="preserve"> le impuso al señor Medina una fianza de $3,500.00</w:t>
      </w:r>
      <w:r w:rsidR="00627D08">
        <w:rPr>
          <w:rFonts w:ascii="Verdana" w:hAnsi="Verdana" w:cs="Arial"/>
          <w:lang w:val="es-MX"/>
        </w:rPr>
        <w:t xml:space="preserve">, la cual fue prestada </w:t>
      </w:r>
      <w:r w:rsidR="00FB6714">
        <w:rPr>
          <w:rFonts w:ascii="Verdana" w:hAnsi="Verdana" w:cs="Arial"/>
          <w:lang w:val="es-MX"/>
        </w:rPr>
        <w:t xml:space="preserve">a través </w:t>
      </w:r>
      <w:r w:rsidR="00644A4C">
        <w:rPr>
          <w:rFonts w:ascii="Verdana" w:hAnsi="Verdana" w:cs="Arial"/>
          <w:lang w:val="es-MX"/>
        </w:rPr>
        <w:t xml:space="preserve">de </w:t>
      </w:r>
      <w:r w:rsidR="00627D08">
        <w:rPr>
          <w:rFonts w:ascii="Verdana" w:hAnsi="Verdana" w:cs="Arial"/>
          <w:lang w:val="es-MX"/>
        </w:rPr>
        <w:t>una compañía privada.</w:t>
      </w:r>
      <w:r w:rsidR="009C21F0">
        <w:rPr>
          <w:rFonts w:ascii="Verdana" w:hAnsi="Verdana" w:cs="Arial"/>
          <w:lang w:val="es-MX"/>
        </w:rPr>
        <w:t xml:space="preserve"> En aquella ocasión, el TPI</w:t>
      </w:r>
      <w:r w:rsidR="006C311D">
        <w:rPr>
          <w:rFonts w:ascii="Verdana" w:hAnsi="Verdana" w:cs="Arial"/>
          <w:lang w:val="es-MX"/>
        </w:rPr>
        <w:t xml:space="preserve"> -por voz de la Hon. </w:t>
      </w:r>
      <w:r w:rsidR="00FB6714">
        <w:rPr>
          <w:rFonts w:ascii="Verdana" w:hAnsi="Verdana" w:cs="Arial"/>
          <w:lang w:val="es-MX"/>
        </w:rPr>
        <w:t>Geisa M. Marrero Martínez-</w:t>
      </w:r>
      <w:r w:rsidR="009C21F0">
        <w:rPr>
          <w:rFonts w:ascii="Verdana" w:hAnsi="Verdana" w:cs="Arial"/>
          <w:lang w:val="es-MX"/>
        </w:rPr>
        <w:t xml:space="preserve"> fundamentó su proceder del siguiente modo:</w:t>
      </w:r>
    </w:p>
    <w:p w14:paraId="4A1C1435" w14:textId="7CF77B43" w:rsidR="00326316" w:rsidRDefault="00BB52A7" w:rsidP="00326316">
      <w:pPr>
        <w:spacing w:line="276" w:lineRule="auto"/>
        <w:ind w:left="720" w:right="810"/>
        <w:contextualSpacing/>
        <w:jc w:val="both"/>
        <w:rPr>
          <w:rFonts w:ascii="Verdana" w:hAnsi="Verdana" w:cs="Arial"/>
          <w:lang w:val="es-MX"/>
        </w:rPr>
      </w:pPr>
      <w:r>
        <w:rPr>
          <w:rFonts w:ascii="Verdana" w:hAnsi="Verdana" w:cs="Arial"/>
          <w:lang w:val="es-MX"/>
        </w:rPr>
        <w:t xml:space="preserve">…[E]n este caso, la defensa se allana a la determinación de causa, lo que hace que esta juez no haya tenido prueba ante sí. Así que el tribunal, que viene en la obligación de imponer la fianza de acuerdo con los preceptos que promulga la Regla 218, y tomando ello en cuenta, ese es mi número. Yo entiendo que, por un delito que no es violento, y </w:t>
      </w:r>
      <w:r w:rsidR="00947D1D">
        <w:rPr>
          <w:rFonts w:ascii="Verdana" w:hAnsi="Verdana" w:cs="Arial"/>
          <w:lang w:val="es-MX"/>
        </w:rPr>
        <w:t>que,</w:t>
      </w:r>
      <w:r>
        <w:rPr>
          <w:rFonts w:ascii="Verdana" w:hAnsi="Verdana" w:cs="Arial"/>
          <w:lang w:val="es-MX"/>
        </w:rPr>
        <w:t xml:space="preserve"> si el caballero prestara fianza, pues creo que se garantiza seguir viniendo al tribunal, compareciendo al tribunal y que pueda prepararse para lo que sería su defensa en este caso, como en el que tiene pendiente.</w:t>
      </w:r>
      <w:r w:rsidR="00C4007E">
        <w:rPr>
          <w:rStyle w:val="FootnoteReference"/>
          <w:rFonts w:ascii="Verdana" w:hAnsi="Verdana" w:cs="Arial"/>
          <w:lang w:val="es-MX"/>
        </w:rPr>
        <w:footnoteReference w:id="2"/>
      </w:r>
      <w:r>
        <w:rPr>
          <w:rFonts w:ascii="Verdana" w:hAnsi="Verdana" w:cs="Arial"/>
          <w:lang w:val="es-MX"/>
        </w:rPr>
        <w:t xml:space="preserve"> </w:t>
      </w:r>
    </w:p>
    <w:p w14:paraId="6AAC7230" w14:textId="535E837F" w:rsidR="00BB52A7" w:rsidRDefault="00326316" w:rsidP="006F6168">
      <w:pPr>
        <w:spacing w:line="480" w:lineRule="auto"/>
        <w:ind w:firstLine="720"/>
        <w:contextualSpacing/>
        <w:jc w:val="both"/>
        <w:rPr>
          <w:rFonts w:ascii="Verdana" w:hAnsi="Verdana" w:cs="Arial"/>
          <w:lang w:val="es-MX"/>
        </w:rPr>
      </w:pPr>
      <w:r>
        <w:rPr>
          <w:rFonts w:ascii="Verdana" w:hAnsi="Verdana" w:cs="Arial"/>
          <w:lang w:val="es-MX"/>
        </w:rPr>
        <w:lastRenderedPageBreak/>
        <w:t>Durante la vista inicial de imposición de fianza, el Minis</w:t>
      </w:r>
      <w:r w:rsidR="00414481">
        <w:rPr>
          <w:rFonts w:ascii="Verdana" w:hAnsi="Verdana" w:cs="Arial"/>
          <w:lang w:val="es-MX"/>
        </w:rPr>
        <w:t xml:space="preserve">terio Público </w:t>
      </w:r>
      <w:r w:rsidR="006F6168">
        <w:rPr>
          <w:rFonts w:ascii="Verdana" w:hAnsi="Verdana" w:cs="Arial"/>
          <w:lang w:val="es-MX"/>
        </w:rPr>
        <w:t>solicitó</w:t>
      </w:r>
      <w:r w:rsidR="00414481">
        <w:rPr>
          <w:rFonts w:ascii="Verdana" w:hAnsi="Verdana" w:cs="Arial"/>
          <w:lang w:val="es-MX"/>
        </w:rPr>
        <w:t xml:space="preserve"> que se reconsiderara la cuantía de $3,500.00; empero, el TPI se rehusó a variar su decisión.</w:t>
      </w:r>
      <w:r w:rsidR="00414481">
        <w:rPr>
          <w:rStyle w:val="FootnoteReference"/>
          <w:rFonts w:ascii="Verdana" w:hAnsi="Verdana" w:cs="Arial"/>
          <w:lang w:val="es-MX"/>
        </w:rPr>
        <w:footnoteReference w:id="3"/>
      </w:r>
      <w:r w:rsidR="00414481">
        <w:rPr>
          <w:rFonts w:ascii="Verdana" w:hAnsi="Verdana" w:cs="Arial"/>
          <w:lang w:val="es-MX"/>
        </w:rPr>
        <w:t xml:space="preserve"> </w:t>
      </w:r>
    </w:p>
    <w:p w14:paraId="03511F66" w14:textId="4D38CAB0" w:rsidR="00043103" w:rsidRDefault="00627D08" w:rsidP="00043103">
      <w:pPr>
        <w:spacing w:line="480" w:lineRule="auto"/>
        <w:ind w:firstLine="720"/>
        <w:contextualSpacing/>
        <w:jc w:val="both"/>
        <w:rPr>
          <w:rFonts w:ascii="Verdana" w:hAnsi="Verdana" w:cs="Arial"/>
          <w:lang w:val="es-MX"/>
        </w:rPr>
      </w:pPr>
      <w:r>
        <w:rPr>
          <w:rFonts w:ascii="Verdana" w:hAnsi="Verdana" w:cs="Arial"/>
          <w:lang w:val="es-MX"/>
        </w:rPr>
        <w:t xml:space="preserve">Un día después, el 6 de mayo de 2021, el Ministerio Público instó una </w:t>
      </w:r>
      <w:r>
        <w:rPr>
          <w:rFonts w:ascii="Verdana" w:hAnsi="Verdana" w:cs="Arial"/>
          <w:i/>
          <w:iCs/>
          <w:lang w:val="es-MX"/>
        </w:rPr>
        <w:t>Moción Urgente sobre Aumento de Fianza</w:t>
      </w:r>
      <w:r w:rsidR="00644A4C">
        <w:rPr>
          <w:rFonts w:ascii="Verdana" w:hAnsi="Verdana" w:cs="Arial"/>
          <w:lang w:val="es-MX"/>
        </w:rPr>
        <w:t xml:space="preserve">. </w:t>
      </w:r>
      <w:r w:rsidR="00FB2C56">
        <w:rPr>
          <w:rFonts w:ascii="Verdana" w:hAnsi="Verdana" w:cs="Arial"/>
          <w:lang w:val="es-MX"/>
        </w:rPr>
        <w:t>Sostuvo</w:t>
      </w:r>
      <w:r w:rsidR="00644A4C">
        <w:rPr>
          <w:rFonts w:ascii="Verdana" w:hAnsi="Verdana" w:cs="Arial"/>
          <w:lang w:val="es-MX"/>
        </w:rPr>
        <w:t xml:space="preserve"> que procedía aumentar la fianza</w:t>
      </w:r>
      <w:r w:rsidR="00043103">
        <w:rPr>
          <w:rFonts w:ascii="Verdana" w:hAnsi="Verdana" w:cs="Arial"/>
          <w:lang w:val="es-MX"/>
        </w:rPr>
        <w:t xml:space="preserve"> que originalmente se le impuso al señor Medina</w:t>
      </w:r>
      <w:r w:rsidR="00FB2C56">
        <w:rPr>
          <w:rFonts w:ascii="Verdana" w:hAnsi="Verdana" w:cs="Arial"/>
          <w:lang w:val="es-MX"/>
        </w:rPr>
        <w:t xml:space="preserve">, </w:t>
      </w:r>
      <w:r w:rsidR="009C21F0">
        <w:rPr>
          <w:rFonts w:ascii="Verdana" w:hAnsi="Verdana" w:cs="Arial"/>
          <w:lang w:val="es-MX"/>
        </w:rPr>
        <w:t>basándose</w:t>
      </w:r>
      <w:r w:rsidR="00FB2C56">
        <w:rPr>
          <w:rFonts w:ascii="Verdana" w:hAnsi="Verdana" w:cs="Arial"/>
          <w:lang w:val="es-MX"/>
        </w:rPr>
        <w:t xml:space="preserve"> en</w:t>
      </w:r>
      <w:r w:rsidR="00043103">
        <w:rPr>
          <w:rFonts w:ascii="Verdana" w:hAnsi="Verdana" w:cs="Arial"/>
          <w:lang w:val="es-MX"/>
        </w:rPr>
        <w:t xml:space="preserve"> los siguientes supuestos:</w:t>
      </w:r>
    </w:p>
    <w:p w14:paraId="502B5EA1" w14:textId="77777777" w:rsidR="00043103" w:rsidRPr="00043103" w:rsidRDefault="00043103" w:rsidP="00414481">
      <w:pPr>
        <w:pStyle w:val="ListParagraph"/>
        <w:numPr>
          <w:ilvl w:val="0"/>
          <w:numId w:val="8"/>
        </w:numPr>
        <w:spacing w:line="240" w:lineRule="auto"/>
        <w:ind w:left="1080" w:right="990"/>
        <w:jc w:val="both"/>
        <w:rPr>
          <w:rFonts w:ascii="Verdana" w:hAnsi="Verdana" w:cs="Arial"/>
          <w:lang w:val="es-MX"/>
        </w:rPr>
      </w:pPr>
      <w:r>
        <w:rPr>
          <w:rFonts w:ascii="Verdana" w:hAnsi="Verdana" w:cs="Arial"/>
          <w:sz w:val="24"/>
          <w:szCs w:val="24"/>
          <w:lang w:val="es-MX"/>
        </w:rPr>
        <w:t xml:space="preserve">La naturaleza y circunstancias de delito imputado- los hechos cometidos ante una entidad del Estado y luego de que se determinara causa para arresto y se impusiere </w:t>
      </w:r>
    </w:p>
    <w:p w14:paraId="4AFED914" w14:textId="45D742D7" w:rsidR="00043103" w:rsidRDefault="00043103" w:rsidP="00414481">
      <w:pPr>
        <w:pStyle w:val="ListParagraph"/>
        <w:spacing w:line="240" w:lineRule="auto"/>
        <w:ind w:left="1080" w:right="990"/>
        <w:jc w:val="both"/>
        <w:rPr>
          <w:rFonts w:ascii="Verdana" w:hAnsi="Verdana" w:cs="Arial"/>
          <w:sz w:val="24"/>
          <w:szCs w:val="24"/>
          <w:lang w:val="es-MX"/>
        </w:rPr>
      </w:pPr>
      <w:r w:rsidRPr="00043103">
        <w:rPr>
          <w:rFonts w:ascii="Verdana" w:hAnsi="Verdana" w:cs="Arial"/>
          <w:sz w:val="24"/>
          <w:szCs w:val="24"/>
          <w:lang w:val="es-MX"/>
        </w:rPr>
        <w:t>una fianza.</w:t>
      </w:r>
    </w:p>
    <w:p w14:paraId="6E2C1263" w14:textId="77777777" w:rsidR="00043103" w:rsidRPr="00043103" w:rsidRDefault="00043103" w:rsidP="00414481">
      <w:pPr>
        <w:pStyle w:val="ListParagraph"/>
        <w:ind w:left="1080" w:right="990"/>
        <w:jc w:val="both"/>
        <w:rPr>
          <w:rFonts w:ascii="Verdana" w:hAnsi="Verdana" w:cs="Arial"/>
          <w:lang w:val="es-MX"/>
        </w:rPr>
      </w:pPr>
    </w:p>
    <w:p w14:paraId="088DB2D1" w14:textId="4D4E69B0" w:rsidR="00043103" w:rsidRPr="00043103" w:rsidRDefault="00043103" w:rsidP="00414481">
      <w:pPr>
        <w:pStyle w:val="ListParagraph"/>
        <w:numPr>
          <w:ilvl w:val="0"/>
          <w:numId w:val="8"/>
        </w:numPr>
        <w:spacing w:line="240" w:lineRule="auto"/>
        <w:ind w:left="1080" w:right="990"/>
        <w:jc w:val="both"/>
        <w:rPr>
          <w:rFonts w:ascii="Verdana" w:hAnsi="Verdana" w:cs="Arial"/>
          <w:lang w:val="es-MX"/>
        </w:rPr>
      </w:pPr>
      <w:r>
        <w:rPr>
          <w:rFonts w:ascii="Verdana" w:hAnsi="Verdana" w:cs="Arial"/>
          <w:sz w:val="24"/>
          <w:szCs w:val="24"/>
          <w:lang w:val="es-MX"/>
        </w:rPr>
        <w:t>Peligrosidad de fuga- es conocido que el acusado, está enfrentando un proceso judicial por Art. 93 del Código Penal y otros delitos, además por el que se encontró causa.</w:t>
      </w:r>
    </w:p>
    <w:p w14:paraId="061BB892" w14:textId="748B9882" w:rsidR="00B93FE3" w:rsidRDefault="00043103" w:rsidP="00043103">
      <w:pPr>
        <w:spacing w:line="480" w:lineRule="auto"/>
        <w:ind w:firstLine="720"/>
        <w:jc w:val="both"/>
        <w:rPr>
          <w:rFonts w:ascii="Verdana" w:hAnsi="Verdana" w:cs="Arial"/>
          <w:lang w:val="es-MX"/>
        </w:rPr>
      </w:pPr>
      <w:r>
        <w:rPr>
          <w:rFonts w:ascii="Verdana" w:hAnsi="Verdana" w:cs="Arial"/>
          <w:lang w:val="es-MX"/>
        </w:rPr>
        <w:t xml:space="preserve">El 7 de mayo de 2021, </w:t>
      </w:r>
      <w:r w:rsidR="003033C3">
        <w:rPr>
          <w:rFonts w:ascii="Verdana" w:hAnsi="Verdana" w:cs="Arial"/>
          <w:lang w:val="es-MX"/>
        </w:rPr>
        <w:t xml:space="preserve">se </w:t>
      </w:r>
      <w:r w:rsidR="00FB6714">
        <w:rPr>
          <w:rFonts w:ascii="Verdana" w:hAnsi="Verdana" w:cs="Arial"/>
          <w:lang w:val="es-MX"/>
        </w:rPr>
        <w:t>efectuó</w:t>
      </w:r>
      <w:r w:rsidR="00BB60BE">
        <w:rPr>
          <w:rFonts w:ascii="Verdana" w:hAnsi="Verdana" w:cs="Arial"/>
          <w:lang w:val="es-MX"/>
        </w:rPr>
        <w:t xml:space="preserve"> la vista </w:t>
      </w:r>
      <w:r w:rsidR="009C21F0">
        <w:rPr>
          <w:rFonts w:ascii="Verdana" w:hAnsi="Verdana" w:cs="Arial"/>
          <w:lang w:val="es-MX"/>
        </w:rPr>
        <w:t>de modificación de fianza</w:t>
      </w:r>
      <w:r w:rsidR="00FB6714">
        <w:rPr>
          <w:rFonts w:ascii="Verdana" w:hAnsi="Verdana" w:cs="Arial"/>
          <w:lang w:val="es-MX"/>
        </w:rPr>
        <w:t xml:space="preserve"> ante un Juez distinto, el Hon. Juan A. Robles Adorno</w:t>
      </w:r>
      <w:r w:rsidR="009C21F0">
        <w:rPr>
          <w:rFonts w:ascii="Verdana" w:hAnsi="Verdana" w:cs="Arial"/>
          <w:lang w:val="es-MX"/>
        </w:rPr>
        <w:t xml:space="preserve">. </w:t>
      </w:r>
      <w:r w:rsidR="00071F4C">
        <w:rPr>
          <w:rFonts w:ascii="Verdana" w:hAnsi="Verdana" w:cs="Arial"/>
          <w:lang w:val="es-MX"/>
        </w:rPr>
        <w:t>En la misma</w:t>
      </w:r>
      <w:r w:rsidR="009C21F0">
        <w:rPr>
          <w:rFonts w:ascii="Verdana" w:hAnsi="Verdana" w:cs="Arial"/>
          <w:lang w:val="es-MX"/>
        </w:rPr>
        <w:t>,</w:t>
      </w:r>
      <w:r w:rsidR="00FB6714">
        <w:rPr>
          <w:rFonts w:ascii="Verdana" w:hAnsi="Verdana" w:cs="Arial"/>
          <w:lang w:val="es-MX"/>
        </w:rPr>
        <w:t xml:space="preserve"> </w:t>
      </w:r>
      <w:r w:rsidR="00947D1D">
        <w:rPr>
          <w:rFonts w:ascii="Verdana" w:hAnsi="Verdana" w:cs="Arial"/>
          <w:lang w:val="es-MX"/>
        </w:rPr>
        <w:t>tanto la representación legal del peticionario como el Ministerio Público presentaron sus respectivas posiciones.</w:t>
      </w:r>
      <w:r w:rsidR="00F15B78">
        <w:rPr>
          <w:rFonts w:ascii="Verdana" w:hAnsi="Verdana" w:cs="Arial"/>
          <w:lang w:val="es-MX"/>
        </w:rPr>
        <w:t xml:space="preserve"> </w:t>
      </w:r>
      <w:r w:rsidR="006B293D">
        <w:rPr>
          <w:rFonts w:ascii="Verdana" w:hAnsi="Verdana" w:cs="Arial"/>
          <w:lang w:val="es-MX"/>
        </w:rPr>
        <w:t xml:space="preserve">No obstante, pese a que inicialmente se impuso una fianza de $3,500.00, el TPI declaró </w:t>
      </w:r>
      <w:r w:rsidR="006B293D" w:rsidRPr="006B293D">
        <w:rPr>
          <w:rFonts w:ascii="Verdana" w:hAnsi="Verdana" w:cs="Arial"/>
          <w:b/>
          <w:bCs/>
          <w:lang w:val="es-MX"/>
        </w:rPr>
        <w:t>Co</w:t>
      </w:r>
      <w:r w:rsidR="005B5909">
        <w:rPr>
          <w:rFonts w:ascii="Verdana" w:hAnsi="Verdana" w:cs="Arial"/>
          <w:b/>
          <w:bCs/>
          <w:lang w:val="es-MX"/>
        </w:rPr>
        <w:t xml:space="preserve">n Lugar </w:t>
      </w:r>
      <w:r w:rsidR="005B5909">
        <w:rPr>
          <w:rFonts w:ascii="Verdana" w:hAnsi="Verdana" w:cs="Arial"/>
          <w:lang w:val="es-MX"/>
        </w:rPr>
        <w:t xml:space="preserve">la solicitud del Ministerio Público y aumentó la fianza a $250,000.00, sin </w:t>
      </w:r>
      <w:r w:rsidR="00FB6714">
        <w:rPr>
          <w:rFonts w:ascii="Verdana" w:hAnsi="Verdana" w:cs="Arial"/>
          <w:lang w:val="es-MX"/>
        </w:rPr>
        <w:t>la posibilidad de</w:t>
      </w:r>
      <w:r w:rsidR="005B5909">
        <w:rPr>
          <w:rFonts w:ascii="Verdana" w:hAnsi="Verdana" w:cs="Arial"/>
          <w:lang w:val="es-MX"/>
        </w:rPr>
        <w:t xml:space="preserve"> prestar el diez por ciento (10%).</w:t>
      </w:r>
      <w:r w:rsidR="00FB6714">
        <w:rPr>
          <w:rFonts w:ascii="Verdana" w:hAnsi="Verdana" w:cs="Arial"/>
          <w:lang w:val="es-MX"/>
        </w:rPr>
        <w:t xml:space="preserve"> </w:t>
      </w:r>
      <w:r w:rsidR="005B5909">
        <w:rPr>
          <w:rFonts w:ascii="Verdana" w:hAnsi="Verdana" w:cs="Arial"/>
          <w:lang w:val="es-MX"/>
        </w:rPr>
        <w:t xml:space="preserve">Consignó su determinación en una </w:t>
      </w:r>
      <w:r w:rsidR="005B5909">
        <w:rPr>
          <w:rFonts w:ascii="Verdana" w:hAnsi="Verdana" w:cs="Arial"/>
          <w:i/>
          <w:iCs/>
          <w:lang w:val="es-MX"/>
        </w:rPr>
        <w:t xml:space="preserve">Resolución, </w:t>
      </w:r>
      <w:r w:rsidR="005B5909">
        <w:rPr>
          <w:rFonts w:ascii="Verdana" w:hAnsi="Verdana" w:cs="Arial"/>
          <w:lang w:val="es-MX"/>
        </w:rPr>
        <w:t xml:space="preserve">en la cual </w:t>
      </w:r>
      <w:r w:rsidR="006C311D">
        <w:rPr>
          <w:rFonts w:ascii="Verdana" w:hAnsi="Verdana" w:cs="Arial"/>
          <w:lang w:val="es-MX"/>
        </w:rPr>
        <w:t>expresó el siguiente raciocinio</w:t>
      </w:r>
      <w:r w:rsidR="005B5909">
        <w:rPr>
          <w:rFonts w:ascii="Verdana" w:hAnsi="Verdana" w:cs="Arial"/>
          <w:lang w:val="es-MX"/>
        </w:rPr>
        <w:t xml:space="preserve">: </w:t>
      </w:r>
    </w:p>
    <w:p w14:paraId="62DD6F86" w14:textId="30CEFF46" w:rsidR="006C311D" w:rsidRDefault="006C311D" w:rsidP="006C311D">
      <w:pPr>
        <w:ind w:left="720" w:right="720"/>
        <w:jc w:val="both"/>
        <w:rPr>
          <w:rFonts w:ascii="Verdana" w:hAnsi="Verdana" w:cs="Arial"/>
          <w:lang w:val="es-MX"/>
        </w:rPr>
      </w:pPr>
      <w:r>
        <w:rPr>
          <w:rFonts w:ascii="Verdana" w:hAnsi="Verdana" w:cs="Arial"/>
          <w:lang w:val="es-MX"/>
        </w:rPr>
        <w:t xml:space="preserve">En este caso, el señor Jensen Medina fue evaluado por el Programa de Servicios de Antelación a Juicio en un procedimiento criminal donde se le imputa el </w:t>
      </w:r>
      <w:r>
        <w:rPr>
          <w:rFonts w:ascii="Verdana" w:hAnsi="Verdana" w:cs="Arial"/>
          <w:b/>
          <w:bCs/>
          <w:u w:val="single"/>
          <w:lang w:val="es-MX"/>
        </w:rPr>
        <w:t>delito de asesinato y Ley de Armas</w:t>
      </w:r>
      <w:r>
        <w:rPr>
          <w:rFonts w:ascii="Verdana" w:hAnsi="Verdana" w:cs="Arial"/>
          <w:lang w:val="es-MX"/>
        </w:rPr>
        <w:t>. Como parte de la evaluación de los documentos sometidos por el señor Jensen Medina, se le imputa que proveyó una licencia falsificada.</w:t>
      </w:r>
    </w:p>
    <w:p w14:paraId="49F1A6AC" w14:textId="77777777" w:rsidR="006C311D" w:rsidRDefault="006C311D" w:rsidP="006C311D">
      <w:pPr>
        <w:ind w:left="720" w:right="720"/>
        <w:jc w:val="both"/>
        <w:rPr>
          <w:rFonts w:ascii="Verdana" w:hAnsi="Verdana" w:cs="Arial"/>
          <w:lang w:val="es-MX"/>
        </w:rPr>
      </w:pPr>
    </w:p>
    <w:p w14:paraId="159BAB77" w14:textId="77777777" w:rsidR="006C311D" w:rsidRDefault="006C311D" w:rsidP="006C311D">
      <w:pPr>
        <w:ind w:left="720" w:right="720"/>
        <w:jc w:val="both"/>
        <w:rPr>
          <w:rFonts w:ascii="Verdana" w:hAnsi="Verdana" w:cs="Arial"/>
          <w:lang w:val="es-MX"/>
        </w:rPr>
      </w:pPr>
      <w:r>
        <w:rPr>
          <w:rFonts w:ascii="Verdana" w:hAnsi="Verdana" w:cs="Arial"/>
          <w:lang w:val="es-MX"/>
        </w:rPr>
        <w:t xml:space="preserve">El Ministerio Público argumentó que el Informe de PSAJ fue uno negativo; que no recomendaba el diferimiento de la fianza, y que existía peligro de fuga. Se tomó conocimiento judicial del referido informe. </w:t>
      </w:r>
    </w:p>
    <w:p w14:paraId="75E7C7EF" w14:textId="77777777" w:rsidR="006C311D" w:rsidRDefault="006C311D" w:rsidP="006C311D">
      <w:pPr>
        <w:ind w:left="720" w:right="720"/>
        <w:jc w:val="both"/>
        <w:rPr>
          <w:rFonts w:ascii="Verdana" w:hAnsi="Verdana" w:cs="Arial"/>
          <w:lang w:val="es-MX"/>
        </w:rPr>
      </w:pPr>
    </w:p>
    <w:p w14:paraId="63217C7D" w14:textId="77777777" w:rsidR="006814DB" w:rsidRDefault="006C311D" w:rsidP="006C311D">
      <w:pPr>
        <w:ind w:left="720" w:right="720"/>
        <w:jc w:val="both"/>
        <w:rPr>
          <w:rFonts w:ascii="Verdana" w:hAnsi="Verdana" w:cs="Arial"/>
          <w:lang w:val="es-MX"/>
        </w:rPr>
      </w:pPr>
      <w:r>
        <w:rPr>
          <w:rFonts w:ascii="Verdana" w:hAnsi="Verdana" w:cs="Arial"/>
          <w:lang w:val="es-MX"/>
        </w:rPr>
        <w:lastRenderedPageBreak/>
        <w:t xml:space="preserve">Escuchados los argumentos de las partes, y luego de evaluada la denuncia y el Informe de PSAJ, este tribunal concluyó que existe un peligro real de fuga por parte del señor Jensen Medina. En conclusión, este tribunal entiende que la fianza impuesta de $3,500.00 no es una razonable, y en su consecuencia, modifica la misma por la cantidad de $250,000.00, sin el derecho al 10%. </w:t>
      </w:r>
      <w:r w:rsidR="00FB6714">
        <w:rPr>
          <w:rFonts w:ascii="Verdana" w:hAnsi="Verdana" w:cs="Arial"/>
          <w:lang w:val="es-MX"/>
        </w:rPr>
        <w:t xml:space="preserve">(Énfasis y subrayado en el original). </w:t>
      </w:r>
    </w:p>
    <w:p w14:paraId="3A556576" w14:textId="77777777" w:rsidR="006814DB" w:rsidRDefault="006814DB" w:rsidP="006C311D">
      <w:pPr>
        <w:ind w:left="720" w:right="720"/>
        <w:jc w:val="both"/>
        <w:rPr>
          <w:rFonts w:ascii="Verdana" w:hAnsi="Verdana" w:cs="Arial"/>
          <w:lang w:val="es-MX"/>
        </w:rPr>
      </w:pPr>
    </w:p>
    <w:p w14:paraId="706B64DB" w14:textId="63092370" w:rsidR="00FB748D" w:rsidRDefault="00FB748D" w:rsidP="00FB748D">
      <w:pPr>
        <w:spacing w:line="480" w:lineRule="auto"/>
        <w:ind w:firstLine="720"/>
        <w:jc w:val="both"/>
        <w:rPr>
          <w:rFonts w:ascii="Verdana" w:hAnsi="Verdana" w:cs="Arial"/>
          <w:lang w:val="es-MX"/>
        </w:rPr>
      </w:pPr>
      <w:r>
        <w:rPr>
          <w:rFonts w:ascii="Verdana" w:hAnsi="Verdana" w:cs="Arial"/>
          <w:lang w:val="es-MX"/>
        </w:rPr>
        <w:t>Tras</w:t>
      </w:r>
      <w:r w:rsidR="006814DB">
        <w:rPr>
          <w:rFonts w:ascii="Verdana" w:hAnsi="Verdana" w:cs="Arial"/>
          <w:lang w:val="es-MX"/>
        </w:rPr>
        <w:t xml:space="preserve"> </w:t>
      </w:r>
      <w:r>
        <w:rPr>
          <w:rFonts w:ascii="Verdana" w:hAnsi="Verdana" w:cs="Arial"/>
          <w:lang w:val="es-MX"/>
        </w:rPr>
        <w:t xml:space="preserve">no </w:t>
      </w:r>
      <w:r w:rsidR="006814DB">
        <w:rPr>
          <w:rFonts w:ascii="Verdana" w:hAnsi="Verdana" w:cs="Arial"/>
          <w:lang w:val="es-MX"/>
        </w:rPr>
        <w:t>prestar la nueva fianza</w:t>
      </w:r>
      <w:r>
        <w:rPr>
          <w:rFonts w:ascii="Verdana" w:hAnsi="Verdana" w:cs="Arial"/>
          <w:lang w:val="es-MX"/>
        </w:rPr>
        <w:t xml:space="preserve"> de $250,000.00</w:t>
      </w:r>
      <w:r w:rsidR="006814DB">
        <w:rPr>
          <w:rFonts w:ascii="Verdana" w:hAnsi="Verdana" w:cs="Arial"/>
          <w:lang w:val="es-MX"/>
        </w:rPr>
        <w:t xml:space="preserve">, el peticionario fue arrestado </w:t>
      </w:r>
      <w:r>
        <w:rPr>
          <w:rFonts w:ascii="Verdana" w:hAnsi="Verdana" w:cs="Arial"/>
          <w:lang w:val="es-MX"/>
        </w:rPr>
        <w:t xml:space="preserve">e ingresado a prisión. </w:t>
      </w:r>
    </w:p>
    <w:p w14:paraId="30066B9B" w14:textId="56AAC599" w:rsidR="009330CA" w:rsidRPr="00FB748D" w:rsidRDefault="00507920" w:rsidP="00FB748D">
      <w:pPr>
        <w:spacing w:line="480" w:lineRule="auto"/>
        <w:ind w:firstLine="720"/>
        <w:jc w:val="both"/>
        <w:rPr>
          <w:rFonts w:ascii="Verdana" w:hAnsi="Verdana" w:cs="Arial"/>
          <w:sz w:val="22"/>
          <w:szCs w:val="22"/>
          <w:lang w:val="es-MX"/>
        </w:rPr>
      </w:pPr>
      <w:r>
        <w:rPr>
          <w:rFonts w:ascii="Verdana" w:hAnsi="Verdana"/>
          <w:lang w:val="es-419"/>
        </w:rPr>
        <w:t>Inconforme,</w:t>
      </w:r>
      <w:r w:rsidR="00934525">
        <w:rPr>
          <w:rFonts w:ascii="Verdana" w:hAnsi="Verdana"/>
          <w:lang w:val="es-419"/>
        </w:rPr>
        <w:t xml:space="preserve"> el 10 de mayo de 2021,</w:t>
      </w:r>
      <w:r>
        <w:rPr>
          <w:rFonts w:ascii="Verdana" w:hAnsi="Verdana"/>
          <w:lang w:val="es-419"/>
        </w:rPr>
        <w:t xml:space="preserve"> el señor Medina acudió ante nos mediante el recurso de </w:t>
      </w:r>
      <w:r w:rsidR="00934525">
        <w:rPr>
          <w:rFonts w:ascii="Verdana" w:hAnsi="Verdana"/>
          <w:lang w:val="es-419"/>
        </w:rPr>
        <w:t>epígrafe</w:t>
      </w:r>
      <w:r>
        <w:rPr>
          <w:rFonts w:ascii="Verdana" w:hAnsi="Verdana"/>
          <w:lang w:val="es-419"/>
        </w:rPr>
        <w:t xml:space="preserve"> y le adjudicó al TPI la comisión del siguiente error:</w:t>
      </w:r>
    </w:p>
    <w:p w14:paraId="1311A3CB" w14:textId="63034777" w:rsidR="00BB52A7" w:rsidRPr="00071F4C" w:rsidRDefault="00054ECC" w:rsidP="00071F4C">
      <w:pPr>
        <w:ind w:left="720" w:right="720"/>
        <w:jc w:val="both"/>
        <w:rPr>
          <w:rFonts w:ascii="Verdana" w:hAnsi="Verdana"/>
          <w:smallCaps/>
          <w:lang w:val="es-419"/>
        </w:rPr>
      </w:pPr>
      <w:r w:rsidRPr="00071F4C">
        <w:rPr>
          <w:rFonts w:ascii="Verdana" w:hAnsi="Verdana"/>
          <w:smallCaps/>
          <w:lang w:val="es-419"/>
        </w:rPr>
        <w:t>Erró el Tribunal de Primera Instancia y abusó de su discreción al modificar la fianza originalmente fijada al peticionario e imponer una fianza monetaria excesiva e irrazonable, sin la correspondiente celebración de la vista adversativa que requiere la Regla 218 de Procedimiento Criminal, en abierta y clara violación al debido procedimiento de ley.</w:t>
      </w:r>
    </w:p>
    <w:p w14:paraId="0FD99EF0" w14:textId="2AB31696" w:rsidR="003C6251" w:rsidRDefault="003C6251" w:rsidP="002A4882">
      <w:pPr>
        <w:ind w:left="720" w:right="900"/>
        <w:jc w:val="both"/>
        <w:rPr>
          <w:rFonts w:ascii="Verdana" w:hAnsi="Verdana"/>
          <w:lang w:val="es-419"/>
        </w:rPr>
      </w:pPr>
    </w:p>
    <w:p w14:paraId="77D67FB5" w14:textId="63241A85" w:rsidR="009330CA" w:rsidRDefault="003449A6" w:rsidP="00934525">
      <w:pPr>
        <w:spacing w:line="480" w:lineRule="auto"/>
        <w:ind w:firstLine="720"/>
        <w:jc w:val="both"/>
        <w:rPr>
          <w:rFonts w:ascii="Verdana" w:hAnsi="Verdana"/>
          <w:lang w:val="es-419"/>
        </w:rPr>
      </w:pPr>
      <w:r>
        <w:rPr>
          <w:rFonts w:ascii="Verdana" w:hAnsi="Verdana"/>
          <w:lang w:val="es-419"/>
        </w:rPr>
        <w:t xml:space="preserve">El peticionario acompañó su recurso con una </w:t>
      </w:r>
      <w:r>
        <w:rPr>
          <w:rFonts w:ascii="Verdana" w:hAnsi="Verdana"/>
          <w:i/>
          <w:iCs/>
          <w:lang w:val="es-419"/>
        </w:rPr>
        <w:t>Moción Urgente en Auxilio de Jurisdicción</w:t>
      </w:r>
      <w:r>
        <w:rPr>
          <w:rFonts w:ascii="Verdana" w:hAnsi="Verdana"/>
          <w:lang w:val="es-419"/>
        </w:rPr>
        <w:t xml:space="preserve">, en la que solicitó que se paralizara el aumento de fianza impuesto el 7 de mayo de 2021. Lo anterior, por entender que la actuación del </w:t>
      </w:r>
      <w:r w:rsidR="00934525">
        <w:rPr>
          <w:rFonts w:ascii="Verdana" w:hAnsi="Verdana"/>
          <w:lang w:val="es-419"/>
        </w:rPr>
        <w:t>foro primario</w:t>
      </w:r>
      <w:r>
        <w:rPr>
          <w:rFonts w:ascii="Verdana" w:hAnsi="Verdana"/>
          <w:lang w:val="es-419"/>
        </w:rPr>
        <w:t xml:space="preserve"> violentó su derecho</w:t>
      </w:r>
      <w:r w:rsidR="00934525">
        <w:rPr>
          <w:rFonts w:ascii="Verdana" w:hAnsi="Verdana"/>
          <w:lang w:val="es-419"/>
        </w:rPr>
        <w:t xml:space="preserve"> constitucional</w:t>
      </w:r>
      <w:r>
        <w:rPr>
          <w:rFonts w:ascii="Verdana" w:hAnsi="Verdana"/>
          <w:lang w:val="es-419"/>
        </w:rPr>
        <w:t xml:space="preserve"> a quedar en libertad bajo fianza, el cual, a su vez, está ligado a la presunción de inocencia.</w:t>
      </w:r>
      <w:r w:rsidR="00934525">
        <w:rPr>
          <w:rFonts w:ascii="Verdana" w:hAnsi="Verdana"/>
          <w:lang w:val="es-419"/>
        </w:rPr>
        <w:t xml:space="preserve">  </w:t>
      </w:r>
    </w:p>
    <w:p w14:paraId="292841AC" w14:textId="04BB69EC" w:rsidR="00A836E5" w:rsidRDefault="008268C9" w:rsidP="002916CA">
      <w:pPr>
        <w:spacing w:line="480" w:lineRule="auto"/>
        <w:ind w:firstLine="720"/>
        <w:jc w:val="both"/>
        <w:rPr>
          <w:rFonts w:ascii="Verdana" w:hAnsi="Verdana"/>
          <w:lang w:val="es-419"/>
        </w:rPr>
      </w:pPr>
      <w:r>
        <w:rPr>
          <w:rFonts w:ascii="Verdana" w:hAnsi="Verdana"/>
          <w:lang w:val="es-419"/>
        </w:rPr>
        <w:t xml:space="preserve">Mediante una </w:t>
      </w:r>
      <w:r>
        <w:rPr>
          <w:rFonts w:ascii="Verdana" w:hAnsi="Verdana"/>
          <w:i/>
          <w:iCs/>
          <w:lang w:val="es-419"/>
        </w:rPr>
        <w:t>Resolución</w:t>
      </w:r>
      <w:r w:rsidR="003C6251">
        <w:rPr>
          <w:rFonts w:ascii="Verdana" w:hAnsi="Verdana"/>
          <w:lang w:val="es-419"/>
        </w:rPr>
        <w:t xml:space="preserve"> dictada </w:t>
      </w:r>
      <w:r>
        <w:rPr>
          <w:rFonts w:ascii="Verdana" w:hAnsi="Verdana"/>
          <w:lang w:val="es-419"/>
        </w:rPr>
        <w:t xml:space="preserve">el 11 de mayo de 2021, le ordenamos a la Oficina del Procurador General (“Procurador”) que, </w:t>
      </w:r>
      <w:r>
        <w:rPr>
          <w:rFonts w:ascii="Verdana" w:hAnsi="Verdana"/>
          <w:szCs w:val="26"/>
        </w:rPr>
        <w:t xml:space="preserve">dentro de un término de </w:t>
      </w:r>
      <w:r w:rsidRPr="00FB6714">
        <w:rPr>
          <w:rFonts w:ascii="Verdana" w:hAnsi="Verdana"/>
          <w:b/>
          <w:bCs/>
          <w:szCs w:val="26"/>
          <w:u w:val="single"/>
        </w:rPr>
        <w:t>cinco</w:t>
      </w:r>
      <w:r w:rsidRPr="00FB6714">
        <w:rPr>
          <w:rFonts w:ascii="Verdana" w:hAnsi="Verdana"/>
          <w:szCs w:val="26"/>
        </w:rPr>
        <w:t xml:space="preserve"> (5)</w:t>
      </w:r>
      <w:r>
        <w:rPr>
          <w:rFonts w:ascii="Verdana" w:hAnsi="Verdana"/>
          <w:szCs w:val="26"/>
        </w:rPr>
        <w:t xml:space="preserve"> días, se expresara </w:t>
      </w:r>
      <w:r w:rsidR="00FB6714">
        <w:rPr>
          <w:rFonts w:ascii="Verdana" w:hAnsi="Verdana"/>
          <w:szCs w:val="26"/>
        </w:rPr>
        <w:t>en torno a</w:t>
      </w:r>
      <w:r>
        <w:rPr>
          <w:rFonts w:ascii="Verdana" w:hAnsi="Verdana"/>
          <w:szCs w:val="26"/>
        </w:rPr>
        <w:t xml:space="preserve"> los méritos de la solicitud de paralización en auxilio de jurisdicción, así como del recurso de </w:t>
      </w:r>
      <w:r>
        <w:rPr>
          <w:rFonts w:ascii="Verdana" w:hAnsi="Verdana"/>
          <w:i/>
          <w:iCs/>
          <w:szCs w:val="26"/>
        </w:rPr>
        <w:t>certiorari</w:t>
      </w:r>
      <w:r>
        <w:rPr>
          <w:rFonts w:ascii="Verdana" w:hAnsi="Verdana"/>
          <w:szCs w:val="26"/>
        </w:rPr>
        <w:t xml:space="preserve"> interpuesto por el señor Medina. </w:t>
      </w:r>
    </w:p>
    <w:p w14:paraId="6434091B" w14:textId="2E7A6A4F" w:rsidR="00071F4C" w:rsidRDefault="00A836E5" w:rsidP="006F6168">
      <w:pPr>
        <w:spacing w:line="480" w:lineRule="auto"/>
        <w:ind w:firstLine="720"/>
        <w:jc w:val="both"/>
        <w:rPr>
          <w:rFonts w:ascii="Verdana" w:hAnsi="Verdana"/>
          <w:lang w:val="es-419"/>
        </w:rPr>
      </w:pPr>
      <w:r>
        <w:rPr>
          <w:rFonts w:ascii="Verdana" w:hAnsi="Verdana"/>
          <w:lang w:val="es-419"/>
        </w:rPr>
        <w:t xml:space="preserve">El 18 de mayo de 2021, el Ministerio Público, por conducto del Procurador, presentó un </w:t>
      </w:r>
      <w:r>
        <w:rPr>
          <w:rFonts w:ascii="Verdana" w:hAnsi="Verdana"/>
          <w:i/>
          <w:iCs/>
          <w:lang w:val="es-419"/>
        </w:rPr>
        <w:t>Escrito en Cumplimiento de Orden</w:t>
      </w:r>
      <w:r>
        <w:rPr>
          <w:rFonts w:ascii="Verdana" w:hAnsi="Verdana"/>
          <w:lang w:val="es-419"/>
        </w:rPr>
        <w:t>. Recibida su oposición, decretamos perfeccionado el recurso y procedemos con su adjudicación.</w:t>
      </w:r>
      <w:r w:rsidR="000A3E1E">
        <w:rPr>
          <w:rFonts w:ascii="Verdana" w:hAnsi="Verdana"/>
          <w:lang w:val="es-419"/>
        </w:rPr>
        <w:t xml:space="preserve"> </w:t>
      </w:r>
    </w:p>
    <w:p w14:paraId="160895BE" w14:textId="48569A46" w:rsidR="009330CA" w:rsidRDefault="00071F4C" w:rsidP="00071F4C">
      <w:pPr>
        <w:spacing w:line="480" w:lineRule="auto"/>
        <w:ind w:firstLine="720"/>
        <w:jc w:val="both"/>
        <w:rPr>
          <w:rFonts w:ascii="Verdana" w:hAnsi="Verdana"/>
          <w:lang w:val="es-419"/>
        </w:rPr>
      </w:pPr>
      <w:r>
        <w:rPr>
          <w:rFonts w:ascii="Verdana" w:hAnsi="Verdana"/>
          <w:lang w:val="es-419"/>
        </w:rPr>
        <w:lastRenderedPageBreak/>
        <w:t xml:space="preserve">Conviene delimitar brevemente el trasfondo normativo aplicable al recurso ante nuestra consideración. </w:t>
      </w:r>
    </w:p>
    <w:p w14:paraId="62656300" w14:textId="77777777" w:rsidR="00507920" w:rsidRDefault="00507920" w:rsidP="00507920">
      <w:pPr>
        <w:spacing w:line="480" w:lineRule="auto"/>
        <w:jc w:val="center"/>
        <w:rPr>
          <w:rFonts w:ascii="Verdana" w:hAnsi="Verdana"/>
          <w:b/>
          <w:bCs/>
          <w:lang w:val="es-419"/>
        </w:rPr>
      </w:pPr>
      <w:r>
        <w:rPr>
          <w:rFonts w:ascii="Verdana" w:hAnsi="Verdana"/>
          <w:b/>
          <w:bCs/>
          <w:lang w:val="es-419"/>
        </w:rPr>
        <w:t>-II-</w:t>
      </w:r>
    </w:p>
    <w:p w14:paraId="6693F40E" w14:textId="1BE8907F" w:rsidR="00507920" w:rsidRDefault="00507920" w:rsidP="00507920">
      <w:pPr>
        <w:spacing w:line="480" w:lineRule="auto"/>
        <w:jc w:val="center"/>
        <w:rPr>
          <w:rFonts w:ascii="Verdana" w:hAnsi="Verdana"/>
          <w:b/>
          <w:bCs/>
          <w:lang w:val="es-419"/>
        </w:rPr>
      </w:pPr>
      <w:r>
        <w:rPr>
          <w:rFonts w:ascii="Verdana" w:hAnsi="Verdana"/>
          <w:b/>
          <w:bCs/>
          <w:lang w:val="es-419"/>
        </w:rPr>
        <w:t>-A-</w:t>
      </w:r>
    </w:p>
    <w:p w14:paraId="32CF0FF7" w14:textId="019BEA48" w:rsidR="00CB7B1A" w:rsidRDefault="007F1F86" w:rsidP="00CB7B1A">
      <w:pPr>
        <w:spacing w:line="480" w:lineRule="auto"/>
        <w:ind w:firstLine="720"/>
        <w:jc w:val="both"/>
        <w:rPr>
          <w:rFonts w:ascii="Verdana" w:hAnsi="Verdana" w:cs="Arial"/>
        </w:rPr>
      </w:pPr>
      <w:r w:rsidRPr="007F1F86">
        <w:rPr>
          <w:rFonts w:ascii="Verdana" w:hAnsi="Verdana" w:cs="Arial"/>
        </w:rPr>
        <w:t>En Puerto Rico</w:t>
      </w:r>
      <w:r w:rsidR="00F9449B">
        <w:rPr>
          <w:rFonts w:ascii="Verdana" w:hAnsi="Verdana" w:cs="Arial"/>
        </w:rPr>
        <w:t>,</w:t>
      </w:r>
      <w:r w:rsidRPr="007F1F86">
        <w:rPr>
          <w:rFonts w:ascii="Verdana" w:hAnsi="Verdana" w:cs="Arial"/>
        </w:rPr>
        <w:t xml:space="preserve"> el derecho a fianza es de rango constitucional. La Sec</w:t>
      </w:r>
      <w:r w:rsidR="00F9449B">
        <w:rPr>
          <w:rFonts w:ascii="Verdana" w:hAnsi="Verdana" w:cs="Arial"/>
        </w:rPr>
        <w:t>ción</w:t>
      </w:r>
      <w:r w:rsidRPr="007F1F86">
        <w:rPr>
          <w:rFonts w:ascii="Verdana" w:hAnsi="Verdana" w:cs="Arial"/>
        </w:rPr>
        <w:t xml:space="preserve"> 11 del Art. II de nuestra Constitución, LPRA, Tomo 1, consagra el derecho de todo acusado a permanecer en libertad bajo fianza antes de mediar un fallo condenatorio y a que la fianza que se le imponga no sea excesiva.</w:t>
      </w:r>
      <w:r>
        <w:rPr>
          <w:rFonts w:ascii="Verdana" w:hAnsi="Verdana" w:cs="Arial"/>
        </w:rPr>
        <w:t xml:space="preserve"> </w:t>
      </w:r>
      <w:r w:rsidRPr="007F1F86">
        <w:rPr>
          <w:rFonts w:ascii="Verdana" w:hAnsi="Verdana" w:cs="Arial"/>
          <w:u w:val="single"/>
        </w:rPr>
        <w:t>Pueblo v. Martínez Hernández</w:t>
      </w:r>
      <w:r w:rsidRPr="007F1F86">
        <w:rPr>
          <w:rFonts w:ascii="Verdana" w:hAnsi="Verdana" w:cs="Arial"/>
        </w:rPr>
        <w:t>, 158 DPR 388, 394 (2003).</w:t>
      </w:r>
      <w:r w:rsidR="00446BB2">
        <w:rPr>
          <w:rFonts w:ascii="Verdana" w:hAnsi="Verdana" w:cs="Arial"/>
        </w:rPr>
        <w:t xml:space="preserve"> Aunque no existe un derecho absoluto a la fianza a nivel federal, </w:t>
      </w:r>
      <w:r w:rsidR="00446BB2" w:rsidRPr="00DA1051">
        <w:rPr>
          <w:rFonts w:ascii="Verdana" w:hAnsi="Verdana" w:cs="Arial"/>
          <w:b/>
          <w:bCs/>
        </w:rPr>
        <w:t>sí</w:t>
      </w:r>
      <w:r w:rsidR="00446BB2">
        <w:rPr>
          <w:rFonts w:ascii="Verdana" w:hAnsi="Verdana" w:cs="Arial"/>
        </w:rPr>
        <w:t xml:space="preserve"> existe un mandato a favor de que la misma no sea excesiva en aquellos casos donde se</w:t>
      </w:r>
      <w:r w:rsidR="00DA1051">
        <w:rPr>
          <w:rFonts w:ascii="Verdana" w:hAnsi="Verdana" w:cs="Arial"/>
        </w:rPr>
        <w:t xml:space="preserve"> conceda</w:t>
      </w:r>
      <w:r w:rsidR="00446BB2">
        <w:rPr>
          <w:rFonts w:ascii="Verdana" w:hAnsi="Verdana" w:cs="Arial"/>
        </w:rPr>
        <w:t xml:space="preserve">. </w:t>
      </w:r>
      <w:r w:rsidR="00CB7B1A">
        <w:rPr>
          <w:rFonts w:ascii="Verdana" w:hAnsi="Verdana" w:cs="Arial"/>
        </w:rPr>
        <w:t>Concretamente</w:t>
      </w:r>
      <w:r w:rsidR="00446BB2">
        <w:rPr>
          <w:rFonts w:ascii="Verdana" w:hAnsi="Verdana" w:cs="Arial"/>
        </w:rPr>
        <w:t>, la Enmienda</w:t>
      </w:r>
      <w:r w:rsidR="00435096">
        <w:rPr>
          <w:rFonts w:ascii="Verdana" w:hAnsi="Verdana" w:cs="Arial"/>
        </w:rPr>
        <w:t xml:space="preserve"> VIII de la Constitución de Estados Unidos dispone: “[e]</w:t>
      </w:r>
      <w:proofErr w:type="spellStart"/>
      <w:r w:rsidR="00435096">
        <w:rPr>
          <w:rFonts w:ascii="Verdana" w:hAnsi="Verdana" w:cs="Arial"/>
        </w:rPr>
        <w:t>xcessive</w:t>
      </w:r>
      <w:proofErr w:type="spellEnd"/>
      <w:r w:rsidR="00435096">
        <w:rPr>
          <w:rFonts w:ascii="Verdana" w:hAnsi="Verdana" w:cs="Arial"/>
        </w:rPr>
        <w:t xml:space="preserve"> </w:t>
      </w:r>
      <w:proofErr w:type="spellStart"/>
      <w:r w:rsidR="00435096">
        <w:rPr>
          <w:rFonts w:ascii="Verdana" w:hAnsi="Verdana" w:cs="Arial"/>
        </w:rPr>
        <w:t>bail</w:t>
      </w:r>
      <w:proofErr w:type="spellEnd"/>
      <w:r w:rsidR="00435096">
        <w:rPr>
          <w:rFonts w:ascii="Verdana" w:hAnsi="Verdana" w:cs="Arial"/>
        </w:rPr>
        <w:t xml:space="preserve"> </w:t>
      </w:r>
      <w:proofErr w:type="spellStart"/>
      <w:r w:rsidR="00435096">
        <w:rPr>
          <w:rFonts w:ascii="Verdana" w:hAnsi="Verdana" w:cs="Arial"/>
        </w:rPr>
        <w:t>shall</w:t>
      </w:r>
      <w:proofErr w:type="spellEnd"/>
      <w:r w:rsidR="00435096">
        <w:rPr>
          <w:rFonts w:ascii="Verdana" w:hAnsi="Verdana" w:cs="Arial"/>
        </w:rPr>
        <w:t xml:space="preserve"> </w:t>
      </w:r>
      <w:proofErr w:type="spellStart"/>
      <w:r w:rsidR="00435096">
        <w:rPr>
          <w:rFonts w:ascii="Verdana" w:hAnsi="Verdana" w:cs="Arial"/>
        </w:rPr>
        <w:t>not</w:t>
      </w:r>
      <w:proofErr w:type="spellEnd"/>
      <w:r w:rsidR="00435096">
        <w:rPr>
          <w:rFonts w:ascii="Verdana" w:hAnsi="Verdana" w:cs="Arial"/>
        </w:rPr>
        <w:t xml:space="preserve"> be </w:t>
      </w:r>
      <w:proofErr w:type="spellStart"/>
      <w:r w:rsidR="00435096">
        <w:rPr>
          <w:rFonts w:ascii="Verdana" w:hAnsi="Verdana" w:cs="Arial"/>
        </w:rPr>
        <w:t>required</w:t>
      </w:r>
      <w:proofErr w:type="spellEnd"/>
      <w:r w:rsidR="00435096">
        <w:rPr>
          <w:rFonts w:ascii="Verdana" w:hAnsi="Verdana" w:cs="Arial"/>
        </w:rPr>
        <w:t xml:space="preserve">, </w:t>
      </w:r>
      <w:proofErr w:type="spellStart"/>
      <w:r w:rsidR="00435096">
        <w:rPr>
          <w:rFonts w:ascii="Verdana" w:hAnsi="Verdana" w:cs="Arial"/>
        </w:rPr>
        <w:t>nor</w:t>
      </w:r>
      <w:proofErr w:type="spellEnd"/>
      <w:r w:rsidR="00435096">
        <w:rPr>
          <w:rFonts w:ascii="Verdana" w:hAnsi="Verdana" w:cs="Arial"/>
        </w:rPr>
        <w:t xml:space="preserve"> </w:t>
      </w:r>
      <w:proofErr w:type="spellStart"/>
      <w:r w:rsidR="00435096">
        <w:rPr>
          <w:rFonts w:ascii="Verdana" w:hAnsi="Verdana" w:cs="Arial"/>
        </w:rPr>
        <w:t>excessive</w:t>
      </w:r>
      <w:proofErr w:type="spellEnd"/>
      <w:r w:rsidR="00435096">
        <w:rPr>
          <w:rFonts w:ascii="Verdana" w:hAnsi="Verdana" w:cs="Arial"/>
        </w:rPr>
        <w:t xml:space="preserve"> fines </w:t>
      </w:r>
      <w:proofErr w:type="spellStart"/>
      <w:r w:rsidR="00435096">
        <w:rPr>
          <w:rFonts w:ascii="Verdana" w:hAnsi="Verdana" w:cs="Arial"/>
        </w:rPr>
        <w:t>imposed</w:t>
      </w:r>
      <w:proofErr w:type="spellEnd"/>
      <w:r w:rsidR="00435096">
        <w:rPr>
          <w:rFonts w:ascii="Verdana" w:hAnsi="Verdana" w:cs="Arial"/>
        </w:rPr>
        <w:t xml:space="preserve">, </w:t>
      </w:r>
      <w:proofErr w:type="spellStart"/>
      <w:r w:rsidR="00435096">
        <w:rPr>
          <w:rFonts w:ascii="Verdana" w:hAnsi="Verdana" w:cs="Arial"/>
        </w:rPr>
        <w:t>nor</w:t>
      </w:r>
      <w:proofErr w:type="spellEnd"/>
      <w:r w:rsidR="00435096">
        <w:rPr>
          <w:rFonts w:ascii="Verdana" w:hAnsi="Verdana" w:cs="Arial"/>
        </w:rPr>
        <w:t xml:space="preserve"> cruel and </w:t>
      </w:r>
      <w:proofErr w:type="spellStart"/>
      <w:r w:rsidR="00435096">
        <w:rPr>
          <w:rFonts w:ascii="Verdana" w:hAnsi="Verdana" w:cs="Arial"/>
        </w:rPr>
        <w:t>unusual</w:t>
      </w:r>
      <w:proofErr w:type="spellEnd"/>
      <w:r w:rsidR="00435096">
        <w:rPr>
          <w:rFonts w:ascii="Verdana" w:hAnsi="Verdana" w:cs="Arial"/>
        </w:rPr>
        <w:t xml:space="preserve"> </w:t>
      </w:r>
      <w:proofErr w:type="spellStart"/>
      <w:r w:rsidR="00435096">
        <w:rPr>
          <w:rFonts w:ascii="Verdana" w:hAnsi="Verdana" w:cs="Arial"/>
        </w:rPr>
        <w:t>punishments</w:t>
      </w:r>
      <w:proofErr w:type="spellEnd"/>
      <w:r w:rsidR="00435096">
        <w:rPr>
          <w:rFonts w:ascii="Verdana" w:hAnsi="Verdana" w:cs="Arial"/>
        </w:rPr>
        <w:t xml:space="preserve"> </w:t>
      </w:r>
      <w:proofErr w:type="spellStart"/>
      <w:r w:rsidR="00435096">
        <w:rPr>
          <w:rFonts w:ascii="Verdana" w:hAnsi="Verdana" w:cs="Arial"/>
        </w:rPr>
        <w:t>inflicted</w:t>
      </w:r>
      <w:proofErr w:type="spellEnd"/>
      <w:r w:rsidR="00435096">
        <w:rPr>
          <w:rFonts w:ascii="Verdana" w:hAnsi="Verdana" w:cs="Arial"/>
        </w:rPr>
        <w:t xml:space="preserve">”. </w:t>
      </w:r>
      <w:proofErr w:type="spellStart"/>
      <w:r w:rsidR="00435096">
        <w:rPr>
          <w:rFonts w:ascii="Verdana" w:hAnsi="Verdana" w:cs="Arial"/>
        </w:rPr>
        <w:t>Enmda</w:t>
      </w:r>
      <w:proofErr w:type="spellEnd"/>
      <w:r w:rsidR="00435096">
        <w:rPr>
          <w:rFonts w:ascii="Verdana" w:hAnsi="Verdana" w:cs="Arial"/>
        </w:rPr>
        <w:t xml:space="preserve">. VIII, Const. </w:t>
      </w:r>
      <w:proofErr w:type="gramStart"/>
      <w:r w:rsidR="00435096">
        <w:rPr>
          <w:rFonts w:ascii="Verdana" w:hAnsi="Verdana" w:cs="Arial"/>
        </w:rPr>
        <w:t>EE.UU.</w:t>
      </w:r>
      <w:proofErr w:type="gramEnd"/>
      <w:r w:rsidR="00435096">
        <w:rPr>
          <w:rFonts w:ascii="Verdana" w:hAnsi="Verdana" w:cs="Arial"/>
        </w:rPr>
        <w:t>, LPRA, Tomo 1.</w:t>
      </w:r>
    </w:p>
    <w:p w14:paraId="5C1C4B87" w14:textId="1D0B78D6" w:rsidR="00DE29B8" w:rsidRDefault="00CB7B1A" w:rsidP="00CB7B1A">
      <w:pPr>
        <w:spacing w:line="480" w:lineRule="auto"/>
        <w:ind w:firstLine="720"/>
        <w:jc w:val="both"/>
        <w:rPr>
          <w:rFonts w:ascii="Verdana" w:hAnsi="Verdana" w:cs="Arial"/>
        </w:rPr>
      </w:pPr>
      <w:r>
        <w:rPr>
          <w:rFonts w:ascii="Verdana" w:hAnsi="Verdana" w:cs="Arial"/>
        </w:rPr>
        <w:t>En el ordenamiento local, la fianza se ha requerido históricamente para asegurar la presencia del acusado o imputado en las diversas etapas del proceso judicial.</w:t>
      </w:r>
      <w:r w:rsidR="0063212E">
        <w:rPr>
          <w:rFonts w:ascii="Verdana" w:hAnsi="Verdana" w:cs="Arial"/>
        </w:rPr>
        <w:t xml:space="preserve"> </w:t>
      </w:r>
      <w:r>
        <w:rPr>
          <w:rFonts w:ascii="Verdana" w:hAnsi="Verdana" w:cs="Arial"/>
          <w:u w:val="single"/>
        </w:rPr>
        <w:t>Pueblo v. Rivera Ortega</w:t>
      </w:r>
      <w:r>
        <w:rPr>
          <w:rFonts w:ascii="Verdana" w:hAnsi="Verdana" w:cs="Arial"/>
        </w:rPr>
        <w:t>, 145 DPR 546, 554 (1998)</w:t>
      </w:r>
      <w:r w:rsidR="00DE29B8">
        <w:rPr>
          <w:rFonts w:ascii="Verdana" w:hAnsi="Verdana" w:cs="Arial"/>
        </w:rPr>
        <w:t>;</w:t>
      </w:r>
      <w:r w:rsidR="009430A8">
        <w:rPr>
          <w:rFonts w:ascii="Verdana" w:hAnsi="Verdana" w:cs="Arial"/>
        </w:rPr>
        <w:t xml:space="preserve"> </w:t>
      </w:r>
      <w:r w:rsidR="00DE29B8">
        <w:rPr>
          <w:rFonts w:ascii="Verdana" w:hAnsi="Verdana" w:cs="Arial"/>
          <w:u w:val="single"/>
        </w:rPr>
        <w:t xml:space="preserve">Pueblo v. </w:t>
      </w:r>
      <w:proofErr w:type="spellStart"/>
      <w:r w:rsidR="00DE29B8">
        <w:rPr>
          <w:rFonts w:ascii="Verdana" w:hAnsi="Verdana" w:cs="Arial"/>
          <w:u w:val="single"/>
        </w:rPr>
        <w:t>Cía</w:t>
      </w:r>
      <w:proofErr w:type="spellEnd"/>
      <w:r w:rsidR="00DE29B8">
        <w:rPr>
          <w:rFonts w:ascii="Verdana" w:hAnsi="Verdana" w:cs="Arial"/>
          <w:u w:val="single"/>
        </w:rPr>
        <w:t xml:space="preserve"> de Fianzas de PR</w:t>
      </w:r>
      <w:r w:rsidR="00014DD6">
        <w:rPr>
          <w:rFonts w:ascii="Verdana" w:hAnsi="Verdana" w:cs="Arial"/>
        </w:rPr>
        <w:t>, 139 DPR 206, 211 (1995)</w:t>
      </w:r>
      <w:r>
        <w:rPr>
          <w:rFonts w:ascii="Verdana" w:hAnsi="Verdana" w:cs="Arial"/>
        </w:rPr>
        <w:t xml:space="preserve">. Además, nuestro Máximo Foro ha sido enfático al </w:t>
      </w:r>
      <w:r w:rsidR="00CA641B">
        <w:rPr>
          <w:rFonts w:ascii="Verdana" w:hAnsi="Verdana" w:cs="Arial"/>
        </w:rPr>
        <w:t>determinar</w:t>
      </w:r>
      <w:r>
        <w:rPr>
          <w:rFonts w:ascii="Verdana" w:hAnsi="Verdana" w:cs="Arial"/>
        </w:rPr>
        <w:t xml:space="preserve"> que el derecho a quedar en libertad bajo fianza </w:t>
      </w:r>
      <w:r w:rsidR="00B31331">
        <w:rPr>
          <w:rFonts w:ascii="Verdana" w:hAnsi="Verdana" w:cs="Arial"/>
        </w:rPr>
        <w:t xml:space="preserve">está vinculado al superior derecho de presunción de inocencia. </w:t>
      </w:r>
      <w:r w:rsidR="00B31331">
        <w:rPr>
          <w:rFonts w:ascii="Verdana" w:hAnsi="Verdana" w:cs="Arial"/>
          <w:u w:val="single"/>
        </w:rPr>
        <w:t>Sánchez v. González</w:t>
      </w:r>
      <w:r w:rsidR="00B31331">
        <w:rPr>
          <w:rFonts w:ascii="Verdana" w:hAnsi="Verdana" w:cs="Arial"/>
        </w:rPr>
        <w:t>, 78 DPR 849, 856 (1955).</w:t>
      </w:r>
    </w:p>
    <w:p w14:paraId="4EB26155" w14:textId="2B9CC67C" w:rsidR="009430A8" w:rsidRDefault="0063212E" w:rsidP="00CB7B1A">
      <w:pPr>
        <w:spacing w:line="480" w:lineRule="auto"/>
        <w:ind w:firstLine="720"/>
        <w:jc w:val="both"/>
        <w:rPr>
          <w:rFonts w:ascii="Verdana" w:hAnsi="Verdana" w:cs="Arial"/>
        </w:rPr>
      </w:pPr>
      <w:r>
        <w:rPr>
          <w:rFonts w:ascii="Verdana" w:hAnsi="Verdana" w:cs="Arial"/>
        </w:rPr>
        <w:t xml:space="preserve">Con respecto a las diferencias habidas entre el derecho a la fianza entre el foro estatal y el federal, el Tribunal Supremo de Puerto Rico se ha pronunciado del siguiente modo:      </w:t>
      </w:r>
    </w:p>
    <w:p w14:paraId="6DAE1DD1" w14:textId="310D0FEA" w:rsidR="00867414" w:rsidRDefault="0063212E" w:rsidP="00867414">
      <w:pPr>
        <w:ind w:left="720" w:right="810"/>
        <w:jc w:val="both"/>
        <w:rPr>
          <w:rFonts w:ascii="Verdana" w:hAnsi="Verdana"/>
        </w:rPr>
      </w:pPr>
      <w:r w:rsidRPr="0063212E">
        <w:rPr>
          <w:rFonts w:ascii="Verdana" w:hAnsi="Verdana"/>
        </w:rPr>
        <w:t>En Puerto Rico, la fianza es un derecho de rango constitucional,</w:t>
      </w:r>
      <w:r>
        <w:rPr>
          <w:rFonts w:ascii="Verdana" w:hAnsi="Verdana"/>
        </w:rPr>
        <w:t xml:space="preserve"> </w:t>
      </w:r>
      <w:r w:rsidRPr="0063212E">
        <w:rPr>
          <w:rFonts w:ascii="Verdana" w:hAnsi="Verdana"/>
        </w:rPr>
        <w:t>íntimamente ligado a la presunción de inocencia. Ello así</w:t>
      </w:r>
      <w:r>
        <w:rPr>
          <w:rFonts w:ascii="Verdana" w:hAnsi="Verdana"/>
        </w:rPr>
        <w:t>,</w:t>
      </w:r>
      <w:r w:rsidRPr="0063212E">
        <w:rPr>
          <w:rFonts w:ascii="Verdana" w:hAnsi="Verdana"/>
        </w:rPr>
        <w:t xml:space="preserve"> toda vez que sería un </w:t>
      </w:r>
      <w:r w:rsidRPr="0063212E">
        <w:rPr>
          <w:rFonts w:ascii="Verdana" w:hAnsi="Verdana"/>
        </w:rPr>
        <w:lastRenderedPageBreak/>
        <w:t xml:space="preserve">contrasentido mantener encarcelada a una persona que se considera inocente, cuya culpabilidad corresponde al Ministerio Público probar, y que eventualmente puede ser exonerada. </w:t>
      </w:r>
      <w:r w:rsidRPr="00B85C41">
        <w:rPr>
          <w:rFonts w:ascii="Verdana" w:hAnsi="Verdana"/>
          <w:b/>
          <w:bCs/>
        </w:rPr>
        <w:t>Por consiguiente, en nuestra jurisdicción</w:t>
      </w:r>
      <w:r w:rsidR="00867414" w:rsidRPr="00B85C41">
        <w:rPr>
          <w:rFonts w:ascii="Verdana" w:hAnsi="Verdana"/>
          <w:b/>
          <w:bCs/>
        </w:rPr>
        <w:t xml:space="preserve"> </w:t>
      </w:r>
      <w:r w:rsidRPr="00B85C41">
        <w:rPr>
          <w:rFonts w:ascii="Verdana" w:hAnsi="Verdana"/>
          <w:b/>
          <w:bCs/>
        </w:rPr>
        <w:t>—distinto a la federal</w:t>
      </w:r>
      <w:r w:rsidR="00867414" w:rsidRPr="00B85C41">
        <w:rPr>
          <w:rFonts w:ascii="Verdana" w:hAnsi="Verdana"/>
          <w:b/>
          <w:bCs/>
        </w:rPr>
        <w:t xml:space="preserve">— </w:t>
      </w:r>
      <w:r w:rsidRPr="00B85C41">
        <w:rPr>
          <w:rFonts w:ascii="Verdana" w:hAnsi="Verdana"/>
          <w:b/>
          <w:bCs/>
        </w:rPr>
        <w:t>no se puede legislar para autorizar la detención preventiva sin derecho a fianza</w:t>
      </w:r>
      <w:r w:rsidRPr="0063212E">
        <w:rPr>
          <w:rFonts w:ascii="Verdana" w:hAnsi="Verdana"/>
        </w:rPr>
        <w:t>.</w:t>
      </w:r>
      <w:r w:rsidR="00867414">
        <w:rPr>
          <w:rFonts w:ascii="Verdana" w:hAnsi="Verdana"/>
        </w:rPr>
        <w:t xml:space="preserve"> (Citas y escolios omitidos).</w:t>
      </w:r>
      <w:r w:rsidR="00B85C41">
        <w:rPr>
          <w:rFonts w:ascii="Verdana" w:hAnsi="Verdana"/>
        </w:rPr>
        <w:t xml:space="preserve"> (Énfasis nuestro). </w:t>
      </w:r>
      <w:r w:rsidR="00867414">
        <w:rPr>
          <w:rFonts w:ascii="Verdana" w:hAnsi="Verdana"/>
          <w:u w:val="single"/>
        </w:rPr>
        <w:t>Pueblo v. Colón</w:t>
      </w:r>
      <w:r w:rsidR="00867414">
        <w:rPr>
          <w:rFonts w:ascii="Verdana" w:hAnsi="Verdana"/>
        </w:rPr>
        <w:t>, 161 DPR 254, 259-260 (2004).</w:t>
      </w:r>
    </w:p>
    <w:p w14:paraId="00CDBEDF" w14:textId="0993C2D7" w:rsidR="00867414" w:rsidRDefault="00867414" w:rsidP="00867414">
      <w:pPr>
        <w:ind w:firstLine="720"/>
        <w:jc w:val="both"/>
        <w:rPr>
          <w:rFonts w:ascii="Verdana" w:hAnsi="Verdana"/>
        </w:rPr>
      </w:pPr>
    </w:p>
    <w:p w14:paraId="496B6DB7" w14:textId="385D73C9" w:rsidR="00C61E1D" w:rsidRDefault="005341C6" w:rsidP="005341C6">
      <w:pPr>
        <w:spacing w:line="480" w:lineRule="auto"/>
        <w:ind w:firstLine="720"/>
        <w:jc w:val="both"/>
        <w:rPr>
          <w:rFonts w:ascii="Verdana" w:hAnsi="Verdana"/>
        </w:rPr>
      </w:pPr>
      <w:r>
        <w:rPr>
          <w:rFonts w:ascii="Verdana" w:hAnsi="Verdana"/>
        </w:rPr>
        <w:t xml:space="preserve">En el ámbito federal, el Tribunal Supremo de Estados Unidos ha </w:t>
      </w:r>
      <w:r w:rsidR="00C61E1D">
        <w:rPr>
          <w:rFonts w:ascii="Verdana" w:hAnsi="Verdana"/>
        </w:rPr>
        <w:t xml:space="preserve">pronunciado </w:t>
      </w:r>
      <w:r w:rsidR="00617FA5">
        <w:rPr>
          <w:rFonts w:ascii="Verdana" w:hAnsi="Verdana"/>
        </w:rPr>
        <w:t xml:space="preserve">que </w:t>
      </w:r>
      <w:r w:rsidR="00C61E1D">
        <w:rPr>
          <w:rFonts w:ascii="Verdana" w:hAnsi="Verdana"/>
        </w:rPr>
        <w:t xml:space="preserve">las fianzas no serán excesivas cuando su único </w:t>
      </w:r>
      <w:r w:rsidR="00C61E1D" w:rsidRPr="00C61E1D">
        <w:rPr>
          <w:rFonts w:ascii="Verdana" w:hAnsi="Verdana"/>
        </w:rPr>
        <w:t>propósito sea garantizar la comparecencia del imputado</w:t>
      </w:r>
      <w:r w:rsidR="00B85C41">
        <w:rPr>
          <w:rFonts w:ascii="Verdana" w:hAnsi="Verdana"/>
        </w:rPr>
        <w:t xml:space="preserve"> al proceso judicial</w:t>
      </w:r>
      <w:r w:rsidR="00C61E1D">
        <w:rPr>
          <w:rFonts w:ascii="Verdana" w:hAnsi="Verdana"/>
        </w:rPr>
        <w:t xml:space="preserve">: </w:t>
      </w:r>
    </w:p>
    <w:p w14:paraId="04A66150" w14:textId="42D282EA" w:rsidR="00867414" w:rsidRPr="00C61E1D" w:rsidRDefault="00C61E1D" w:rsidP="006F3DA4">
      <w:pPr>
        <w:ind w:left="720" w:right="810"/>
        <w:jc w:val="both"/>
        <w:rPr>
          <w:rFonts w:ascii="Verdana" w:hAnsi="Verdana"/>
        </w:rPr>
      </w:pPr>
      <w:r w:rsidRPr="00C61E1D">
        <w:rPr>
          <w:rFonts w:ascii="Verdana" w:hAnsi="Verdana" w:cs="Arial"/>
          <w:color w:val="000000"/>
          <w:shd w:val="clear" w:color="auto" w:fill="FFFFFF"/>
          <w:lang w:val="en-US"/>
        </w:rPr>
        <w:t>[W</w:t>
      </w:r>
      <w:r>
        <w:rPr>
          <w:rFonts w:ascii="Verdana" w:hAnsi="Verdana" w:cs="Arial"/>
          <w:color w:val="000000"/>
          <w:shd w:val="clear" w:color="auto" w:fill="FFFFFF"/>
          <w:lang w:val="en-US"/>
        </w:rPr>
        <w:t>]</w:t>
      </w:r>
      <w:r w:rsidRPr="00C61E1D">
        <w:rPr>
          <w:rFonts w:ascii="Verdana" w:hAnsi="Verdana" w:cs="Arial"/>
          <w:color w:val="000000"/>
          <w:shd w:val="clear" w:color="auto" w:fill="FFFFFF"/>
          <w:lang w:val="en-US"/>
        </w:rPr>
        <w:t xml:space="preserve">hen the Government </w:t>
      </w:r>
      <w:r w:rsidRPr="00B85C41">
        <w:rPr>
          <w:rFonts w:ascii="Verdana" w:hAnsi="Verdana" w:cs="Arial"/>
          <w:b/>
          <w:bCs/>
          <w:color w:val="000000"/>
          <w:shd w:val="clear" w:color="auto" w:fill="FFFFFF"/>
          <w:lang w:val="en-US"/>
        </w:rPr>
        <w:t>has admitted that its only interest is in preventing flight</w:t>
      </w:r>
      <w:r w:rsidRPr="00C61E1D">
        <w:rPr>
          <w:rFonts w:ascii="Verdana" w:hAnsi="Verdana" w:cs="Arial"/>
          <w:color w:val="000000"/>
          <w:shd w:val="clear" w:color="auto" w:fill="FFFFFF"/>
          <w:lang w:val="en-US"/>
        </w:rPr>
        <w:t>, bail must be set by a court at a sum designed to ensure that goal, and no more”.</w:t>
      </w:r>
      <w:r w:rsidR="00B85C41">
        <w:rPr>
          <w:rFonts w:ascii="Verdana" w:hAnsi="Verdana" w:cs="Arial"/>
          <w:color w:val="000000"/>
          <w:shd w:val="clear" w:color="auto" w:fill="FFFFFF"/>
          <w:lang w:val="en-US"/>
        </w:rPr>
        <w:t xml:space="preserve"> </w:t>
      </w:r>
      <w:r w:rsidR="00B85C41" w:rsidRPr="00EC2EDA">
        <w:rPr>
          <w:rFonts w:ascii="Verdana" w:hAnsi="Verdana" w:cs="Arial"/>
          <w:color w:val="000000"/>
          <w:shd w:val="clear" w:color="auto" w:fill="FFFFFF"/>
        </w:rPr>
        <w:t>(Énfasis nuestro).</w:t>
      </w:r>
      <w:r w:rsidRPr="00EC2EDA">
        <w:rPr>
          <w:rFonts w:ascii="Verdana" w:hAnsi="Verdana" w:cs="Arial"/>
          <w:color w:val="000000"/>
          <w:shd w:val="clear" w:color="auto" w:fill="FFFFFF"/>
        </w:rPr>
        <w:t xml:space="preserve"> </w:t>
      </w:r>
      <w:r>
        <w:rPr>
          <w:rFonts w:ascii="Verdana" w:hAnsi="Verdana" w:cs="Arial"/>
          <w:color w:val="000000"/>
          <w:u w:val="single"/>
          <w:shd w:val="clear" w:color="auto" w:fill="FFFFFF"/>
        </w:rPr>
        <w:t>U.S. v. Salerno</w:t>
      </w:r>
      <w:r>
        <w:rPr>
          <w:rFonts w:ascii="Verdana" w:hAnsi="Verdana" w:cs="Arial"/>
          <w:color w:val="000000"/>
          <w:shd w:val="clear" w:color="auto" w:fill="FFFFFF"/>
        </w:rPr>
        <w:t>, 481 US 739</w:t>
      </w:r>
      <w:r w:rsidR="006F3DA4">
        <w:rPr>
          <w:rFonts w:ascii="Verdana" w:hAnsi="Verdana" w:cs="Arial"/>
          <w:color w:val="000000"/>
          <w:shd w:val="clear" w:color="auto" w:fill="FFFFFF"/>
        </w:rPr>
        <w:t xml:space="preserve">, 754 (1987). </w:t>
      </w:r>
    </w:p>
    <w:p w14:paraId="4EAC7BDD" w14:textId="77777777" w:rsidR="00867414" w:rsidRPr="00C61E1D" w:rsidRDefault="00867414" w:rsidP="00867414">
      <w:pPr>
        <w:ind w:left="720" w:right="810"/>
        <w:jc w:val="both"/>
        <w:rPr>
          <w:rFonts w:ascii="Verdana" w:hAnsi="Verdana"/>
        </w:rPr>
      </w:pPr>
    </w:p>
    <w:p w14:paraId="198E5439" w14:textId="0319A3D0" w:rsidR="00B80328" w:rsidRPr="00B80328" w:rsidRDefault="00867414" w:rsidP="00B80328">
      <w:pPr>
        <w:spacing w:line="480" w:lineRule="auto"/>
        <w:ind w:firstLine="720"/>
        <w:jc w:val="both"/>
        <w:rPr>
          <w:rFonts w:ascii="Verdana" w:eastAsia="Calibri" w:hAnsi="Verdana" w:cs="Tahoma"/>
        </w:rPr>
      </w:pPr>
      <w:r>
        <w:rPr>
          <w:rFonts w:ascii="Verdana" w:eastAsia="Calibri" w:hAnsi="Verdana" w:cs="Tahoma"/>
        </w:rPr>
        <w:t>Por otro lado, l</w:t>
      </w:r>
      <w:r w:rsidR="00B80328" w:rsidRPr="00B80328">
        <w:rPr>
          <w:rFonts w:ascii="Verdana" w:eastAsia="Calibri" w:hAnsi="Verdana" w:cs="Tahoma"/>
        </w:rPr>
        <w:t>as Reglas 6.1 y 218 de Procedimiento Criminal contienen disposiciones que regulan la prestación de la fianza</w:t>
      </w:r>
      <w:r w:rsidR="00B80328">
        <w:rPr>
          <w:rFonts w:ascii="Verdana" w:eastAsia="Calibri" w:hAnsi="Verdana" w:cs="Tahoma"/>
        </w:rPr>
        <w:t xml:space="preserve"> en Puerto Rico</w:t>
      </w:r>
      <w:r w:rsidR="00B80328" w:rsidRPr="00B80328">
        <w:rPr>
          <w:rFonts w:ascii="Verdana" w:eastAsia="Calibri" w:hAnsi="Verdana" w:cs="Tahoma"/>
        </w:rPr>
        <w:t xml:space="preserve">. En lo pertinente, la Regla 6.1 dispone lo siguiente:  </w:t>
      </w:r>
    </w:p>
    <w:p w14:paraId="0441D4B2" w14:textId="77777777" w:rsidR="00B80328" w:rsidRPr="00B80328" w:rsidRDefault="00B80328" w:rsidP="00B80328">
      <w:pPr>
        <w:spacing w:after="160"/>
        <w:ind w:left="720" w:right="720"/>
        <w:jc w:val="both"/>
        <w:rPr>
          <w:rFonts w:ascii="Verdana" w:eastAsia="Calibri" w:hAnsi="Verdana" w:cs="Tahoma"/>
        </w:rPr>
      </w:pPr>
      <w:r w:rsidRPr="00B80328">
        <w:rPr>
          <w:rFonts w:ascii="Verdana" w:eastAsia="Calibri" w:hAnsi="Verdana" w:cs="Tahoma"/>
        </w:rPr>
        <w:t xml:space="preserve">(b)  En casos graves o menos graves en que hubiere derecho a juicio por jurado.  </w:t>
      </w:r>
    </w:p>
    <w:p w14:paraId="62D3C0FE" w14:textId="6A088B5A" w:rsidR="00D9008D" w:rsidRPr="00D9008D" w:rsidRDefault="00B80328" w:rsidP="00D9008D">
      <w:pPr>
        <w:spacing w:after="160"/>
        <w:ind w:left="720" w:right="720"/>
        <w:jc w:val="both"/>
        <w:rPr>
          <w:color w:val="000000" w:themeColor="text1"/>
        </w:rPr>
      </w:pPr>
      <w:r w:rsidRPr="00B80328">
        <w:rPr>
          <w:rFonts w:ascii="Verdana" w:eastAsia="Calibri" w:hAnsi="Verdana" w:cs="Tahoma"/>
        </w:rPr>
        <w:t>En todo caso grave o menos grave en que hubiere derecho a juicio por jurado el magistrado exigirá la prestación de fianza al imputado para permanecer en libertad provisional hasta que se dicte sentencia. En casos apropiados el magistrado podrá permitirle al imputado permanecer en libertad provisional bajo su propio reconocimiento, bajo custodia de tercero, bajo fianza diferida o bajo cualesquiera condiciones que estime pertinentes imponer. El tribunal podrá imponer, motu proprio o a solicitud del Ministerio Fiscal, condiciones de conformidad con la Regla 218(c). En los casos de personas a quienes se le imputen alguno de los siguientes delitos graves, según tipificados en el Código Penal de Puerto Rico y otras leyes especiales, además de fijar la fianza correspondiente, el tribunal tendrá, al fijar la fianza, que imponer la condición de que se sujete a supervisión electrónica al imputado y aquéllas otras condiciones enumeradas en el inciso (c) de la Regla 218, conforme al procedimiento establecido en dicha regla. Los delitos son</w:t>
      </w:r>
      <w:r w:rsidRPr="00D9008D">
        <w:rPr>
          <w:rFonts w:ascii="Verdana" w:eastAsia="Calibri" w:hAnsi="Verdana" w:cs="Tahoma"/>
          <w:color w:val="000000" w:themeColor="text1"/>
        </w:rPr>
        <w:t>:</w:t>
      </w:r>
      <w:r w:rsidR="00D9008D" w:rsidRPr="00D9008D">
        <w:rPr>
          <w:rFonts w:ascii="Verdana" w:eastAsia="Calibri" w:hAnsi="Verdana" w:cs="Tahoma"/>
          <w:color w:val="000000" w:themeColor="text1"/>
        </w:rPr>
        <w:t xml:space="preserve"> </w:t>
      </w:r>
      <w:r w:rsidR="00D9008D" w:rsidRPr="00D9008D">
        <w:rPr>
          <w:rFonts w:ascii="Verdana" w:hAnsi="Verdana" w:cs="Arimo"/>
          <w:color w:val="000000" w:themeColor="text1"/>
          <w:lang w:eastAsia="es-PR"/>
        </w:rPr>
        <w:t xml:space="preserve">Asesinato; Robo agravado; Incendio agravado; Utilización de un menor para pornografía infantil; Envenenamiento intencional de aguas de uso público; Agresión sexual; Secuestro, </w:t>
      </w:r>
      <w:r w:rsidR="00D9008D" w:rsidRPr="00D9008D">
        <w:rPr>
          <w:rFonts w:ascii="Verdana" w:hAnsi="Verdana" w:cs="Arimo"/>
          <w:color w:val="000000" w:themeColor="text1"/>
          <w:lang w:eastAsia="es-PR"/>
        </w:rPr>
        <w:lastRenderedPageBreak/>
        <w:t>Secuestro agravado y Secuestro de menores; Maltrato a personas de edad avanzada; Maltrato a personas de edad avanzada mediante amenaza; Explotación financiera de persona de edad avanzada, en su modalidad grave</w:t>
      </w:r>
      <w:r w:rsidR="00D9008D">
        <w:rPr>
          <w:rFonts w:ascii="Verdana" w:hAnsi="Verdana" w:cs="Arimo"/>
          <w:color w:val="000000" w:themeColor="text1"/>
          <w:lang w:eastAsia="es-PR"/>
        </w:rPr>
        <w:t xml:space="preserve"> ...</w:t>
      </w:r>
    </w:p>
    <w:p w14:paraId="6BD3E1C5" w14:textId="77777777" w:rsidR="00B80328" w:rsidRPr="00B80328" w:rsidRDefault="00B80328" w:rsidP="00B80328">
      <w:pPr>
        <w:spacing w:after="160"/>
        <w:ind w:left="720" w:right="720"/>
        <w:jc w:val="both"/>
        <w:rPr>
          <w:rFonts w:ascii="Verdana" w:eastAsia="Calibri" w:hAnsi="Verdana" w:cs="Tahoma"/>
        </w:rPr>
      </w:pPr>
      <w:r w:rsidRPr="00B80328">
        <w:rPr>
          <w:rFonts w:ascii="Verdana" w:eastAsia="Calibri" w:hAnsi="Verdana" w:cs="Tahoma"/>
        </w:rPr>
        <w:t>[…]</w:t>
      </w:r>
    </w:p>
    <w:p w14:paraId="3A89209A" w14:textId="77777777" w:rsidR="00B80328" w:rsidRPr="00B80328" w:rsidRDefault="00B80328" w:rsidP="00B80328">
      <w:pPr>
        <w:spacing w:after="160"/>
        <w:ind w:left="720" w:right="720"/>
        <w:jc w:val="both"/>
        <w:rPr>
          <w:rFonts w:ascii="Verdana" w:eastAsia="Calibri" w:hAnsi="Verdana" w:cs="Tahoma"/>
        </w:rPr>
      </w:pPr>
      <w:r w:rsidRPr="00B80328">
        <w:rPr>
          <w:rFonts w:ascii="Verdana" w:eastAsia="Calibri" w:hAnsi="Verdana" w:cs="Tahoma"/>
        </w:rPr>
        <w:t>En todos los casos en que se impute la comisión de los delitos enumerados anteriormente, el tribunal contará con el informe de evaluación y recomendación de la Oficina de Servicios con Antelación al Juicio, salvo que no autorizará la fianza diferida. En caso de que se determine causa probable para arresto en ausencia del imputado, la fianza que fije el magistrado, sólo podrá ser modificada mediante moción bajo la Regla 218.</w:t>
      </w:r>
    </w:p>
    <w:p w14:paraId="39B48C49" w14:textId="77777777" w:rsidR="00B80328" w:rsidRPr="00B80328" w:rsidRDefault="00B80328" w:rsidP="00B80328">
      <w:pPr>
        <w:spacing w:after="160"/>
        <w:ind w:left="720" w:right="720"/>
        <w:jc w:val="both"/>
        <w:rPr>
          <w:rFonts w:ascii="Verdana" w:eastAsia="Calibri" w:hAnsi="Verdana" w:cs="Tahoma"/>
        </w:rPr>
      </w:pPr>
      <w:r w:rsidRPr="00B80328">
        <w:rPr>
          <w:rFonts w:ascii="Verdana" w:eastAsia="Calibri" w:hAnsi="Verdana" w:cs="Tahoma"/>
        </w:rPr>
        <w:t>(c) En cualquier momento en que las circunstancias lo justifiquen, el magistrado o el tribunal podrá exigir la prestación de una fianza, revocar o modificar una determinación de libertad bajo propio reconocimiento o bajo custodia de tercero, revocar o modificar una concesión de libertad bajo fianza diferida, o imponer condiciones, así como revocar o modificar condiciones previamente impuestas, de conformidad con la Regla 218(c) antes del fallo condenatorio a cualquier persona que se encontrare en libertad haya o no prestado fianza.</w:t>
      </w:r>
    </w:p>
    <w:p w14:paraId="5E76AC47" w14:textId="77777777" w:rsidR="00B80328" w:rsidRPr="00B80328" w:rsidRDefault="00B80328" w:rsidP="00B80328">
      <w:pPr>
        <w:spacing w:after="160"/>
        <w:ind w:left="720" w:right="720"/>
        <w:jc w:val="both"/>
        <w:rPr>
          <w:rFonts w:ascii="Verdana" w:eastAsia="Calibri" w:hAnsi="Verdana" w:cs="Tahoma"/>
        </w:rPr>
      </w:pPr>
      <w:r w:rsidRPr="00B80328">
        <w:rPr>
          <w:rFonts w:ascii="Verdana" w:eastAsia="Calibri" w:hAnsi="Verdana" w:cs="Tahoma"/>
        </w:rPr>
        <w:t>[…]</w:t>
      </w:r>
    </w:p>
    <w:p w14:paraId="09BBFEE1" w14:textId="77777777" w:rsidR="00B80328" w:rsidRPr="00B80328" w:rsidRDefault="00B80328" w:rsidP="00B80328">
      <w:pPr>
        <w:spacing w:after="160"/>
        <w:ind w:left="720" w:right="720"/>
        <w:jc w:val="both"/>
        <w:rPr>
          <w:rFonts w:ascii="Verdana" w:eastAsia="Calibri" w:hAnsi="Verdana" w:cs="Tahoma"/>
        </w:rPr>
      </w:pPr>
      <w:r w:rsidRPr="00B80328">
        <w:rPr>
          <w:rFonts w:ascii="Verdana" w:eastAsia="Calibri" w:hAnsi="Verdana" w:cs="Tahoma"/>
        </w:rPr>
        <w:t>(f) En todo caso, el magistrado requerirá la evaluación, informe y recomendaciones de la Oficina de Servicios con Antelación al Juicio sobre todo imputado antes de hacer una determinación sobre fianza o hacer una determinación de fianza diferida, libertad bajo propio reconocimiento o libertad bajo custodia de tercero.</w:t>
      </w:r>
    </w:p>
    <w:p w14:paraId="0C2DC479" w14:textId="5F46140E" w:rsidR="00B80328" w:rsidRPr="00B80328" w:rsidRDefault="00B80328" w:rsidP="00B80328">
      <w:pPr>
        <w:spacing w:line="480" w:lineRule="auto"/>
        <w:jc w:val="both"/>
        <w:rPr>
          <w:rFonts w:ascii="Verdana" w:eastAsia="Calibri" w:hAnsi="Verdana" w:cs="Tahoma"/>
        </w:rPr>
      </w:pPr>
      <w:r w:rsidRPr="00B80328">
        <w:rPr>
          <w:rFonts w:ascii="Verdana" w:eastAsia="Calibri" w:hAnsi="Verdana" w:cs="Tahoma"/>
        </w:rPr>
        <w:t xml:space="preserve">34A LPRA Ap. II, Regla 6.1.  </w:t>
      </w:r>
    </w:p>
    <w:p w14:paraId="52D71B6A" w14:textId="529ABA3B" w:rsidR="00B80328" w:rsidRPr="00F8794C" w:rsidRDefault="00B80328" w:rsidP="00B80328">
      <w:pPr>
        <w:spacing w:line="480" w:lineRule="auto"/>
        <w:jc w:val="both"/>
        <w:rPr>
          <w:rFonts w:ascii="Verdana" w:eastAsia="Calibri" w:hAnsi="Verdana" w:cs="Tahoma"/>
        </w:rPr>
      </w:pPr>
      <w:r w:rsidRPr="00362591">
        <w:rPr>
          <w:rFonts w:ascii="Tahoma" w:eastAsia="Calibri" w:hAnsi="Tahoma" w:cs="Tahoma"/>
        </w:rPr>
        <w:t xml:space="preserve"> </w:t>
      </w:r>
      <w:r w:rsidRPr="00362591">
        <w:rPr>
          <w:rFonts w:ascii="Tahoma" w:eastAsia="Calibri" w:hAnsi="Tahoma" w:cs="Tahoma"/>
        </w:rPr>
        <w:tab/>
      </w:r>
      <w:r w:rsidRPr="00F8794C">
        <w:rPr>
          <w:rFonts w:ascii="Verdana" w:eastAsia="Calibri" w:hAnsi="Verdana" w:cs="Tahoma"/>
        </w:rPr>
        <w:t xml:space="preserve">Por </w:t>
      </w:r>
      <w:r w:rsidR="00867414">
        <w:rPr>
          <w:rFonts w:ascii="Verdana" w:eastAsia="Calibri" w:hAnsi="Verdana" w:cs="Tahoma"/>
        </w:rPr>
        <w:t>su parte</w:t>
      </w:r>
      <w:r w:rsidRPr="00F8794C">
        <w:rPr>
          <w:rFonts w:ascii="Verdana" w:eastAsia="Calibri" w:hAnsi="Verdana" w:cs="Tahoma"/>
        </w:rPr>
        <w:t xml:space="preserve">, la Regla 218 de Procedimiento Criminal, en su inciso (c), regula las condiciones que se pueden o se deben imponer a un acusado para ser puesto en libertad bajo fianza. La misma </w:t>
      </w:r>
      <w:r w:rsidR="00F8794C">
        <w:rPr>
          <w:rFonts w:ascii="Verdana" w:eastAsia="Calibri" w:hAnsi="Verdana" w:cs="Tahoma"/>
        </w:rPr>
        <w:t>establece</w:t>
      </w:r>
      <w:r w:rsidRPr="00F8794C">
        <w:rPr>
          <w:rFonts w:ascii="Verdana" w:eastAsia="Calibri" w:hAnsi="Verdana" w:cs="Tahoma"/>
        </w:rPr>
        <w:t xml:space="preserve">:  </w:t>
      </w:r>
    </w:p>
    <w:p w14:paraId="214399F6" w14:textId="643EBFB4"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(a) Derecho a fianza; quién la admitirá; imposición de condiciones.</w:t>
      </w:r>
      <w:r w:rsidR="001E527B">
        <w:rPr>
          <w:rFonts w:ascii="Verdana" w:eastAsia="Calibri" w:hAnsi="Verdana" w:cs="Tahoma"/>
        </w:rPr>
        <w:t xml:space="preserve"> </w:t>
      </w:r>
      <w:r w:rsidRPr="00F8794C">
        <w:rPr>
          <w:rFonts w:ascii="Verdana" w:eastAsia="Calibri" w:hAnsi="Verdana" w:cs="Tahoma"/>
        </w:rPr>
        <w:t xml:space="preserve">—Aquella persona arrestada por cualquier delito que tenga derecho a quedar en libertad bajo fianza o bajo las condiciones impuestas de conformidad con el inciso (c) de esta regla hasta tanto fuera convicta. </w:t>
      </w:r>
      <w:r w:rsidRPr="00F8794C">
        <w:rPr>
          <w:rFonts w:ascii="Verdana" w:eastAsia="Calibri" w:hAnsi="Verdana" w:cs="Tahoma"/>
          <w:b/>
        </w:rPr>
        <w:t xml:space="preserve">A los fines de determinar la cuantía de la fianza correspondiente y la imposición de las condiciones que se estimen propias y convenientes, el tribunal deberá contar con el informe de evaluación y recomendaciones que rinda la Oficina de </w:t>
      </w:r>
      <w:r w:rsidRPr="00F8794C">
        <w:rPr>
          <w:rFonts w:ascii="Verdana" w:eastAsia="Calibri" w:hAnsi="Verdana" w:cs="Tahoma"/>
          <w:b/>
        </w:rPr>
        <w:lastRenderedPageBreak/>
        <w:t>Servicios con Antelación al Juicio</w:t>
      </w:r>
      <w:r w:rsidRPr="00F8794C">
        <w:rPr>
          <w:rFonts w:ascii="Verdana" w:eastAsia="Calibri" w:hAnsi="Verdana" w:cs="Tahoma"/>
        </w:rPr>
        <w:t xml:space="preserve"> a tenor con las disposiciones de la Ley 177-1995, según enmendada. En los casos de personas a quienes se le impute alguno de los siguientes delitos graves, según tipificados en el Código Penal de Puerto Rico y otras leyes especiales, además de fijar la fianza correspondiente, el tribunal tendrá, al fijar la fianza, que imponer la condición de que se sujete a supervisión electrónica al imputado y aquéllas otras condiciones enumeradas en el inciso (c) de esta Regla, conforme al procedimiento establecido en esta Regla. </w:t>
      </w:r>
    </w:p>
    <w:p w14:paraId="39762DC9" w14:textId="77777777"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w:t>
      </w:r>
    </w:p>
    <w:p w14:paraId="05C75370" w14:textId="77777777"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 xml:space="preserve">(b) Fijación de la cuantía de la fianza. — </w:t>
      </w:r>
      <w:r w:rsidRPr="00F8794C">
        <w:rPr>
          <w:rFonts w:ascii="Verdana" w:eastAsia="Calibri" w:hAnsi="Verdana" w:cs="Tahoma"/>
          <w:b/>
        </w:rPr>
        <w:t>En ningún caso se exigirá una fianza excesiva</w:t>
      </w:r>
      <w:r w:rsidRPr="00F8794C">
        <w:rPr>
          <w:rFonts w:ascii="Verdana" w:eastAsia="Calibri" w:hAnsi="Verdana" w:cs="Tahoma"/>
        </w:rPr>
        <w:t xml:space="preserve">. Para la fijación de la cuantía de la fianza se tomarán en consideración las circunstancias relacionadas con la adecuada garantía de la comparecencia del imputado, incluyendo: </w:t>
      </w:r>
    </w:p>
    <w:p w14:paraId="4AD893E1" w14:textId="28B77B38"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(1)</w:t>
      </w:r>
      <w:r w:rsidR="006F3DA4">
        <w:rPr>
          <w:rFonts w:ascii="Verdana" w:eastAsia="Calibri" w:hAnsi="Verdana" w:cs="Tahoma"/>
        </w:rPr>
        <w:t xml:space="preserve"> </w:t>
      </w:r>
      <w:r w:rsidRPr="00F8794C">
        <w:rPr>
          <w:rFonts w:ascii="Verdana" w:eastAsia="Calibri" w:hAnsi="Verdana" w:cs="Tahoma"/>
        </w:rPr>
        <w:t>La naturaleza y circunstancias del delito imputado.</w:t>
      </w:r>
    </w:p>
    <w:p w14:paraId="71ADEE4F" w14:textId="495452F9"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(2)</w:t>
      </w:r>
      <w:r w:rsidR="006F3DA4">
        <w:rPr>
          <w:rFonts w:ascii="Verdana" w:eastAsia="Calibri" w:hAnsi="Verdana" w:cs="Tahoma"/>
        </w:rPr>
        <w:t xml:space="preserve"> </w:t>
      </w:r>
      <w:r w:rsidRPr="00F8794C">
        <w:rPr>
          <w:rFonts w:ascii="Verdana" w:eastAsia="Calibri" w:hAnsi="Verdana" w:cs="Tahoma"/>
        </w:rPr>
        <w:t>Los nexos del imputado en la comunidad, entre ellos, su tiempo de residencia, su historial de empleo y sus relaciones familiares.</w:t>
      </w:r>
    </w:p>
    <w:p w14:paraId="389C4928" w14:textId="71D2C7B1"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(3)</w:t>
      </w:r>
      <w:r w:rsidR="006F3DA4">
        <w:rPr>
          <w:rFonts w:ascii="Verdana" w:eastAsia="Calibri" w:hAnsi="Verdana" w:cs="Tahoma"/>
        </w:rPr>
        <w:t xml:space="preserve"> </w:t>
      </w:r>
      <w:r w:rsidRPr="00F8794C">
        <w:rPr>
          <w:rFonts w:ascii="Verdana" w:eastAsia="Calibri" w:hAnsi="Verdana" w:cs="Tahoma"/>
        </w:rPr>
        <w:t>El carácter, peligrosidad y condición mental del imputado. A tales efectos, el tribunal podrá valerse del récord de convicciones anteriores o de cualquier otra información que le merezca crédito y que sea pertinente al asunto.</w:t>
      </w:r>
    </w:p>
    <w:p w14:paraId="5EAF5221" w14:textId="4736FCBC"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(4)</w:t>
      </w:r>
      <w:r w:rsidR="006F3DA4">
        <w:rPr>
          <w:rFonts w:ascii="Verdana" w:eastAsia="Calibri" w:hAnsi="Verdana" w:cs="Tahoma"/>
        </w:rPr>
        <w:t xml:space="preserve"> </w:t>
      </w:r>
      <w:r w:rsidRPr="00F8794C">
        <w:rPr>
          <w:rFonts w:ascii="Verdana" w:eastAsia="Calibri" w:hAnsi="Verdana" w:cs="Tahoma"/>
        </w:rPr>
        <w:t>Los recursos económicos del imputado.</w:t>
      </w:r>
    </w:p>
    <w:p w14:paraId="06EEAA96" w14:textId="17FAE489"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(5)</w:t>
      </w:r>
      <w:r w:rsidR="006F3DA4">
        <w:rPr>
          <w:rFonts w:ascii="Verdana" w:eastAsia="Calibri" w:hAnsi="Verdana" w:cs="Tahoma"/>
        </w:rPr>
        <w:t xml:space="preserve"> </w:t>
      </w:r>
      <w:r w:rsidRPr="00F8794C">
        <w:rPr>
          <w:rFonts w:ascii="Verdana" w:eastAsia="Calibri" w:hAnsi="Verdana" w:cs="Tahoma"/>
        </w:rPr>
        <w:t>El historial del imputado sobre previas comparecencias y cumplimiento de órdenes judiciales.</w:t>
      </w:r>
    </w:p>
    <w:p w14:paraId="0D12F3DE" w14:textId="0E47608E"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(6)</w:t>
      </w:r>
      <w:r w:rsidR="006F3DA4">
        <w:rPr>
          <w:rFonts w:ascii="Verdana" w:eastAsia="Calibri" w:hAnsi="Verdana" w:cs="Tahoma"/>
        </w:rPr>
        <w:t xml:space="preserve"> </w:t>
      </w:r>
      <w:r w:rsidRPr="00F8794C">
        <w:rPr>
          <w:rFonts w:ascii="Verdana" w:eastAsia="Calibri" w:hAnsi="Verdana" w:cs="Tahoma"/>
        </w:rPr>
        <w:t>La evaluación, informes y recomendaciones que haga la Oficina de Servicios con Antelación al Juicio.</w:t>
      </w:r>
    </w:p>
    <w:p w14:paraId="2B22480B" w14:textId="3DE4210C"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(c)</w:t>
      </w:r>
      <w:r w:rsidR="006F3DA4">
        <w:rPr>
          <w:rFonts w:ascii="Verdana" w:eastAsia="Calibri" w:hAnsi="Verdana" w:cs="Tahoma"/>
        </w:rPr>
        <w:t xml:space="preserve"> </w:t>
      </w:r>
      <w:r w:rsidRPr="00F8794C">
        <w:rPr>
          <w:rFonts w:ascii="Verdana" w:eastAsia="Calibri" w:hAnsi="Verdana" w:cs="Tahoma"/>
        </w:rPr>
        <w:t xml:space="preserve">Imposición de condiciones.  </w:t>
      </w:r>
    </w:p>
    <w:p w14:paraId="5D3290E8" w14:textId="77777777"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 xml:space="preserve">Sujeto a lo dispuesto en la Regla 6.1(a), (b) y (c) podrán imponerse una o más de las siguientes condiciones:  </w:t>
      </w:r>
    </w:p>
    <w:p w14:paraId="77EDF5FC" w14:textId="77777777"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 xml:space="preserve">[…]  </w:t>
      </w:r>
    </w:p>
    <w:p w14:paraId="7F02BF5A" w14:textId="41401F48"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(12)</w:t>
      </w:r>
      <w:r w:rsidR="006F3DA4">
        <w:rPr>
          <w:rFonts w:ascii="Verdana" w:eastAsia="Calibri" w:hAnsi="Verdana" w:cs="Tahoma"/>
        </w:rPr>
        <w:t xml:space="preserve"> </w:t>
      </w:r>
      <w:r w:rsidRPr="00F8794C">
        <w:rPr>
          <w:rFonts w:ascii="Verdana" w:eastAsia="Calibri" w:hAnsi="Verdana" w:cs="Tahoma"/>
        </w:rPr>
        <w:t xml:space="preserve">Cumplir con cualquier otra condición razonable que imponga el tribunal.  </w:t>
      </w:r>
    </w:p>
    <w:p w14:paraId="2773D4CF" w14:textId="77777777" w:rsidR="00B80328" w:rsidRPr="00F8794C" w:rsidRDefault="00B80328" w:rsidP="00F8794C">
      <w:pPr>
        <w:spacing w:after="160"/>
        <w:ind w:left="720" w:right="810"/>
        <w:jc w:val="both"/>
        <w:rPr>
          <w:rFonts w:ascii="Verdana" w:eastAsia="Calibri" w:hAnsi="Verdana" w:cs="Tahoma"/>
          <w:b/>
        </w:rPr>
      </w:pPr>
      <w:r w:rsidRPr="00F8794C">
        <w:rPr>
          <w:rFonts w:ascii="Verdana" w:eastAsia="Calibri" w:hAnsi="Verdana" w:cs="Tahoma"/>
          <w:b/>
        </w:rPr>
        <w:t xml:space="preserve">Las condiciones impuestas de conformidad con esta regla no podrán ser tan onerosas que su observancia implique una detención parcial del imputado como si estuviera en una institución penal.  </w:t>
      </w:r>
    </w:p>
    <w:p w14:paraId="21B7DF72" w14:textId="77777777"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 xml:space="preserve">No obstante, en aquellos delitos que menciona el inciso (a) de esta regla, se establecen las siguientes restricciones:  </w:t>
      </w:r>
    </w:p>
    <w:p w14:paraId="2603CE84" w14:textId="77777777"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lastRenderedPageBreak/>
        <w:t xml:space="preserve">No se impondrá al imputado una fianza con el beneficio del pago del diez por ciento (10%) en efectivo.  </w:t>
      </w:r>
    </w:p>
    <w:p w14:paraId="7B1656F8" w14:textId="77777777" w:rsidR="00B80328" w:rsidRP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 xml:space="preserve">El tribunal, en estos delitos, tendrá que imponer como condición especial adicional para quedar en libertad bajo fianza, que el imputado se sujete a la supervisión electrónica, bajo la Oficina de Servicios con Antelación al Juicio.  </w:t>
      </w:r>
    </w:p>
    <w:p w14:paraId="59C61A15" w14:textId="7C596CAC" w:rsidR="00F8794C" w:rsidRDefault="00B80328" w:rsidP="00F8794C">
      <w:pPr>
        <w:spacing w:after="160"/>
        <w:ind w:left="720" w:right="810"/>
        <w:jc w:val="both"/>
        <w:rPr>
          <w:rFonts w:ascii="Verdana" w:eastAsia="Calibri" w:hAnsi="Verdana" w:cs="Tahoma"/>
        </w:rPr>
      </w:pPr>
      <w:r w:rsidRPr="00F8794C">
        <w:rPr>
          <w:rFonts w:ascii="Verdana" w:eastAsia="Calibri" w:hAnsi="Verdana" w:cs="Tahoma"/>
        </w:rPr>
        <w:t>No se podrá diferir la fianza.</w:t>
      </w:r>
      <w:r w:rsidR="00F8794C">
        <w:rPr>
          <w:rFonts w:ascii="Verdana" w:eastAsia="Calibri" w:hAnsi="Verdana" w:cs="Tahoma"/>
        </w:rPr>
        <w:t xml:space="preserve"> </w:t>
      </w:r>
      <w:r w:rsidRPr="00F8794C">
        <w:rPr>
          <w:rFonts w:ascii="Verdana" w:eastAsia="Calibri" w:hAnsi="Verdana" w:cs="Tahoma"/>
        </w:rPr>
        <w:t xml:space="preserve">(Énfasis nuestro). </w:t>
      </w:r>
    </w:p>
    <w:p w14:paraId="3749A232" w14:textId="060C7663" w:rsidR="00435096" w:rsidRPr="00867414" w:rsidRDefault="00B80328" w:rsidP="00867414">
      <w:pPr>
        <w:spacing w:after="160"/>
        <w:ind w:right="720"/>
        <w:jc w:val="both"/>
        <w:rPr>
          <w:rFonts w:ascii="Verdana" w:eastAsia="Calibri" w:hAnsi="Verdana" w:cs="Tahoma"/>
        </w:rPr>
      </w:pPr>
      <w:r w:rsidRPr="00F8794C">
        <w:rPr>
          <w:rFonts w:ascii="Verdana" w:eastAsia="Calibri" w:hAnsi="Verdana" w:cs="Tahoma"/>
        </w:rPr>
        <w:t>34A LPRA Ap. II, Regla 218.</w:t>
      </w:r>
      <w:r w:rsidR="00867414">
        <w:rPr>
          <w:rFonts w:ascii="Verdana" w:eastAsia="Calibri" w:hAnsi="Verdana" w:cs="Tahoma"/>
        </w:rPr>
        <w:t xml:space="preserve"> </w:t>
      </w:r>
    </w:p>
    <w:p w14:paraId="1162C24F" w14:textId="77777777" w:rsidR="00507920" w:rsidRDefault="00507920" w:rsidP="00507920">
      <w:pPr>
        <w:spacing w:line="480" w:lineRule="auto"/>
        <w:jc w:val="center"/>
        <w:rPr>
          <w:rFonts w:ascii="Verdana" w:hAnsi="Verdana"/>
          <w:b/>
          <w:bCs/>
          <w:lang w:val="es-419"/>
        </w:rPr>
      </w:pPr>
      <w:r>
        <w:rPr>
          <w:rFonts w:ascii="Verdana" w:hAnsi="Verdana"/>
          <w:b/>
          <w:bCs/>
          <w:lang w:val="es-419"/>
        </w:rPr>
        <w:t>-B-</w:t>
      </w:r>
    </w:p>
    <w:p w14:paraId="78528811" w14:textId="2398DCDE" w:rsidR="00AD650E" w:rsidRDefault="00054ECC" w:rsidP="00054ECC">
      <w:pPr>
        <w:spacing w:line="480" w:lineRule="auto"/>
        <w:ind w:firstLine="720"/>
        <w:jc w:val="both"/>
        <w:rPr>
          <w:rFonts w:ascii="Verdana" w:hAnsi="Verdana"/>
        </w:rPr>
      </w:pPr>
      <w:r w:rsidRPr="00090DB1">
        <w:rPr>
          <w:rFonts w:ascii="Verdana" w:hAnsi="Verdana"/>
        </w:rPr>
        <w:t xml:space="preserve">El </w:t>
      </w:r>
      <w:r w:rsidRPr="00090DB1">
        <w:rPr>
          <w:rFonts w:ascii="Verdana" w:hAnsi="Verdana"/>
          <w:i/>
          <w:iCs/>
        </w:rPr>
        <w:t xml:space="preserve">certiorari </w:t>
      </w:r>
      <w:r w:rsidRPr="00090DB1">
        <w:rPr>
          <w:rFonts w:ascii="Verdana" w:hAnsi="Verdana"/>
        </w:rPr>
        <w:t xml:space="preserve">es el vehículo procesal extraordinario utilizado para que un tribunal de mayor jerarquía pueda corregir un error de derecho cometido por un tribunal inferior. </w:t>
      </w:r>
      <w:r w:rsidRPr="00090DB1">
        <w:rPr>
          <w:rFonts w:ascii="Verdana" w:hAnsi="Verdana"/>
          <w:u w:val="single"/>
          <w:lang w:val="es-ES"/>
        </w:rPr>
        <w:t xml:space="preserve">800 Ponce de León Corp. v. American International </w:t>
      </w:r>
      <w:proofErr w:type="spellStart"/>
      <w:r w:rsidRPr="00090DB1">
        <w:rPr>
          <w:rFonts w:ascii="Verdana" w:hAnsi="Verdana"/>
          <w:u w:val="single"/>
          <w:lang w:val="es-ES"/>
        </w:rPr>
        <w:t>Insurance</w:t>
      </w:r>
      <w:proofErr w:type="spellEnd"/>
      <w:r w:rsidRPr="00090DB1">
        <w:rPr>
          <w:rFonts w:ascii="Verdana" w:hAnsi="Verdana"/>
          <w:u w:val="single"/>
          <w:lang w:val="es-ES"/>
        </w:rPr>
        <w:t xml:space="preserve"> Company </w:t>
      </w:r>
      <w:proofErr w:type="spellStart"/>
      <w:r w:rsidRPr="00090DB1">
        <w:rPr>
          <w:rFonts w:ascii="Verdana" w:hAnsi="Verdana"/>
          <w:u w:val="single"/>
          <w:lang w:val="es-ES"/>
        </w:rPr>
        <w:t>of</w:t>
      </w:r>
      <w:proofErr w:type="spellEnd"/>
      <w:r w:rsidRPr="00090DB1">
        <w:rPr>
          <w:rFonts w:ascii="Verdana" w:hAnsi="Verdana"/>
          <w:u w:val="single"/>
          <w:lang w:val="es-ES"/>
        </w:rPr>
        <w:t xml:space="preserve"> Puerto Rico</w:t>
      </w:r>
      <w:r w:rsidRPr="00090DB1">
        <w:rPr>
          <w:rFonts w:ascii="Verdana" w:hAnsi="Verdana"/>
          <w:i/>
          <w:iCs/>
          <w:lang w:val="es-ES"/>
        </w:rPr>
        <w:t xml:space="preserve">, </w:t>
      </w:r>
      <w:r w:rsidRPr="00090DB1">
        <w:rPr>
          <w:rFonts w:ascii="Verdana" w:hAnsi="Verdana"/>
          <w:lang w:val="es-ES"/>
        </w:rPr>
        <w:t>2020 TSPR 104, 205 DPR</w:t>
      </w:r>
      <w:r w:rsidR="000A3E1E">
        <w:rPr>
          <w:rFonts w:ascii="Verdana" w:hAnsi="Verdana"/>
          <w:lang w:val="es-ES"/>
        </w:rPr>
        <w:t xml:space="preserve"> </w:t>
      </w:r>
      <w:r w:rsidRPr="00090DB1">
        <w:rPr>
          <w:rFonts w:ascii="Verdana" w:hAnsi="Verdana"/>
          <w:lang w:val="es-ES"/>
        </w:rPr>
        <w:t>___</w:t>
      </w:r>
      <w:r w:rsidR="000A3E1E">
        <w:rPr>
          <w:rFonts w:ascii="Verdana" w:hAnsi="Verdana"/>
          <w:lang w:val="es-ES"/>
        </w:rPr>
        <w:t xml:space="preserve"> </w:t>
      </w:r>
      <w:r w:rsidRPr="00090DB1">
        <w:rPr>
          <w:rFonts w:ascii="Verdana" w:hAnsi="Verdana"/>
          <w:lang w:val="es-ES"/>
        </w:rPr>
        <w:t xml:space="preserve">(2020), Op. de 15 de septiembre de 2020; </w:t>
      </w:r>
      <w:r w:rsidRPr="00090DB1">
        <w:rPr>
          <w:rFonts w:ascii="Verdana" w:hAnsi="Verdana"/>
          <w:iCs/>
          <w:u w:val="single"/>
        </w:rPr>
        <w:t>IG Builders et. al. v. BBVAPR</w:t>
      </w:r>
      <w:r w:rsidRPr="00090DB1">
        <w:rPr>
          <w:rFonts w:ascii="Verdana" w:hAnsi="Verdana"/>
        </w:rPr>
        <w:t xml:space="preserve">, 185 DPR 307, 337-338 (2012). Los tribunales apelativos tenemos la facultad para expedir un </w:t>
      </w:r>
      <w:r w:rsidRPr="00090DB1">
        <w:rPr>
          <w:rFonts w:ascii="Verdana" w:hAnsi="Verdana"/>
          <w:i/>
        </w:rPr>
        <w:t>certiorari</w:t>
      </w:r>
      <w:r w:rsidRPr="00090DB1">
        <w:rPr>
          <w:rFonts w:ascii="Verdana" w:hAnsi="Verdana"/>
        </w:rPr>
        <w:t xml:space="preserve"> de manera discrecional, por tratarse de ordinario de asuntos interlocutorios. </w:t>
      </w:r>
      <w:r w:rsidRPr="00090DB1">
        <w:rPr>
          <w:rFonts w:ascii="Verdana" w:hAnsi="Verdana"/>
          <w:iCs/>
          <w:u w:val="single"/>
        </w:rPr>
        <w:t>Negrón v. Secretario de Justicia</w:t>
      </w:r>
      <w:r w:rsidRPr="00090DB1">
        <w:rPr>
          <w:rFonts w:ascii="Verdana" w:hAnsi="Verdana"/>
        </w:rPr>
        <w:t xml:space="preserve">, 154 DPR 79, 91 (2001). Esta discreción se define como “el poder para decidir en una u otra forma, esto es, para escoger entre uno o varios cursos de acción”. </w:t>
      </w:r>
      <w:r w:rsidRPr="00090DB1">
        <w:rPr>
          <w:rFonts w:ascii="Verdana" w:hAnsi="Verdana"/>
          <w:iCs/>
          <w:u w:val="single"/>
        </w:rPr>
        <w:t>García v. Padró</w:t>
      </w:r>
      <w:r w:rsidRPr="00090DB1">
        <w:rPr>
          <w:rFonts w:ascii="Verdana" w:hAnsi="Verdana"/>
        </w:rPr>
        <w:t xml:space="preserve">, 165 DPR 324, 334 (2005). Asimismo, </w:t>
      </w:r>
      <w:r w:rsidR="00090DB1">
        <w:rPr>
          <w:rFonts w:ascii="Verdana" w:hAnsi="Verdana"/>
        </w:rPr>
        <w:t xml:space="preserve">la </w:t>
      </w:r>
      <w:r w:rsidRPr="00090DB1">
        <w:rPr>
          <w:rFonts w:ascii="Verdana" w:hAnsi="Verdana"/>
        </w:rPr>
        <w:t xml:space="preserve">discreción es una forma de razonabilidad aplicada al discernimiento judicial para llegar a una conclusión justa. </w:t>
      </w:r>
      <w:r w:rsidRPr="00090DB1">
        <w:rPr>
          <w:rFonts w:ascii="Verdana" w:hAnsi="Verdana"/>
          <w:i/>
          <w:iCs/>
        </w:rPr>
        <w:t>Íd</w:t>
      </w:r>
      <w:r w:rsidRPr="00090DB1">
        <w:rPr>
          <w:rFonts w:ascii="Verdana" w:hAnsi="Verdana"/>
        </w:rPr>
        <w:t xml:space="preserve">., pág. 335. </w:t>
      </w:r>
    </w:p>
    <w:p w14:paraId="14C5175C" w14:textId="3EF14266" w:rsidR="00054ECC" w:rsidRPr="00090DB1" w:rsidRDefault="00054ECC" w:rsidP="00054ECC">
      <w:pPr>
        <w:spacing w:line="480" w:lineRule="auto"/>
        <w:ind w:firstLine="720"/>
        <w:jc w:val="both"/>
        <w:rPr>
          <w:rFonts w:ascii="Verdana" w:hAnsi="Verdana"/>
        </w:rPr>
      </w:pPr>
      <w:r w:rsidRPr="00090DB1">
        <w:rPr>
          <w:rFonts w:ascii="Verdana" w:hAnsi="Verdana"/>
        </w:rPr>
        <w:t xml:space="preserve">Ahora bien, la aludida discreción que tiene este foro apelativo para atender un </w:t>
      </w:r>
      <w:r w:rsidRPr="00090DB1">
        <w:rPr>
          <w:rFonts w:ascii="Verdana" w:hAnsi="Verdana"/>
          <w:i/>
        </w:rPr>
        <w:t xml:space="preserve">certiorari </w:t>
      </w:r>
      <w:r w:rsidRPr="00090DB1">
        <w:rPr>
          <w:rFonts w:ascii="Verdana" w:hAnsi="Verdana"/>
        </w:rPr>
        <w:t xml:space="preserve">no es absoluta. </w:t>
      </w:r>
      <w:r w:rsidRPr="00090DB1">
        <w:rPr>
          <w:rFonts w:ascii="Verdana" w:hAnsi="Verdana"/>
          <w:i/>
          <w:iCs/>
        </w:rPr>
        <w:t>Íd</w:t>
      </w:r>
      <w:r w:rsidRPr="00090DB1">
        <w:rPr>
          <w:rFonts w:ascii="Verdana" w:hAnsi="Verdana"/>
        </w:rPr>
        <w:t>. Esto</w:t>
      </w:r>
      <w:r w:rsidR="00AD650E">
        <w:rPr>
          <w:rFonts w:ascii="Verdana" w:hAnsi="Verdana"/>
        </w:rPr>
        <w:t>,</w:t>
      </w:r>
      <w:r w:rsidRPr="00090DB1">
        <w:rPr>
          <w:rFonts w:ascii="Verdana" w:hAnsi="Verdana"/>
        </w:rPr>
        <w:t xml:space="preserve"> </w:t>
      </w:r>
      <w:r w:rsidR="00AD650E">
        <w:rPr>
          <w:rFonts w:ascii="Verdana" w:hAnsi="Verdana"/>
        </w:rPr>
        <w:t>por razón de</w:t>
      </w:r>
      <w:r w:rsidRPr="00090DB1">
        <w:rPr>
          <w:rFonts w:ascii="Verdana" w:hAnsi="Verdana"/>
        </w:rPr>
        <w:t xml:space="preserve"> que no tenemos autoridad para actuar de una forma u otra, con abstracción total al resto del derecho, pues ello constituiría </w:t>
      </w:r>
      <w:r w:rsidR="00AD650E">
        <w:rPr>
          <w:rFonts w:ascii="Verdana" w:hAnsi="Verdana"/>
        </w:rPr>
        <w:t xml:space="preserve">un </w:t>
      </w:r>
      <w:r w:rsidRPr="00090DB1">
        <w:rPr>
          <w:rFonts w:ascii="Verdana" w:hAnsi="Verdana"/>
        </w:rPr>
        <w:t>abuso de discreción.</w:t>
      </w:r>
      <w:r w:rsidR="00090DB1">
        <w:rPr>
          <w:rFonts w:ascii="Verdana" w:hAnsi="Verdana"/>
        </w:rPr>
        <w:t xml:space="preserve"> </w:t>
      </w:r>
    </w:p>
    <w:p w14:paraId="681DE2E9" w14:textId="77777777" w:rsidR="00054ECC" w:rsidRPr="00090DB1" w:rsidRDefault="00054ECC" w:rsidP="00054ECC">
      <w:pPr>
        <w:spacing w:line="480" w:lineRule="auto"/>
        <w:ind w:firstLine="709"/>
        <w:jc w:val="both"/>
        <w:rPr>
          <w:rFonts w:ascii="Verdana" w:hAnsi="Verdana"/>
        </w:rPr>
      </w:pPr>
      <w:r w:rsidRPr="00090DB1">
        <w:rPr>
          <w:rFonts w:ascii="Verdana" w:hAnsi="Verdana"/>
        </w:rPr>
        <w:t xml:space="preserve">La Regla 40 del Tribunal de Apelaciones, 4 LPRA Ap. XXII-B enmarca los criterios que debe evaluar este tribunal al expedir un auto de </w:t>
      </w:r>
      <w:r w:rsidRPr="00090DB1">
        <w:rPr>
          <w:rFonts w:ascii="Verdana" w:hAnsi="Verdana"/>
          <w:i/>
        </w:rPr>
        <w:t>certiorari.</w:t>
      </w:r>
      <w:r w:rsidRPr="00090DB1">
        <w:rPr>
          <w:rFonts w:ascii="Verdana" w:hAnsi="Verdana"/>
        </w:rPr>
        <w:t xml:space="preserve"> La aludida regla establece lo siguiente: </w:t>
      </w:r>
    </w:p>
    <w:p w14:paraId="5D96F137" w14:textId="77777777" w:rsidR="00054ECC" w:rsidRDefault="00054ECC" w:rsidP="001E527B">
      <w:pPr>
        <w:ind w:left="720" w:right="810"/>
        <w:jc w:val="both"/>
        <w:rPr>
          <w:rFonts w:ascii="Verdana" w:hAnsi="Verdana"/>
        </w:rPr>
      </w:pPr>
      <w:r w:rsidRPr="00054ECC">
        <w:rPr>
          <w:rFonts w:ascii="Verdana" w:hAnsi="Verdana"/>
        </w:rPr>
        <w:lastRenderedPageBreak/>
        <w:t xml:space="preserve">El tribunal tomará en consideración los siguientes criterios al determinar la expedición de un auto de certiorari o de una orden de mostrar causa: </w:t>
      </w:r>
    </w:p>
    <w:p w14:paraId="02B0AC64" w14:textId="77777777" w:rsidR="00054ECC" w:rsidRPr="00054ECC" w:rsidRDefault="00054ECC" w:rsidP="001E527B">
      <w:pPr>
        <w:ind w:left="720" w:right="810"/>
        <w:jc w:val="both"/>
        <w:rPr>
          <w:rFonts w:ascii="Verdana" w:hAnsi="Verdana"/>
        </w:rPr>
      </w:pPr>
    </w:p>
    <w:p w14:paraId="4ED230E6" w14:textId="7D7B5B61" w:rsidR="00054ECC" w:rsidRPr="00054ECC" w:rsidRDefault="00054ECC" w:rsidP="001E527B">
      <w:pPr>
        <w:ind w:left="720" w:right="810"/>
        <w:jc w:val="both"/>
        <w:rPr>
          <w:rFonts w:ascii="Verdana" w:hAnsi="Verdana"/>
        </w:rPr>
      </w:pPr>
      <w:r w:rsidRPr="00054ECC">
        <w:rPr>
          <w:rFonts w:ascii="Verdana" w:hAnsi="Verdana"/>
        </w:rPr>
        <w:t>(A)</w:t>
      </w:r>
      <w:r>
        <w:rPr>
          <w:rFonts w:ascii="Verdana" w:hAnsi="Verdana"/>
        </w:rPr>
        <w:t xml:space="preserve"> </w:t>
      </w:r>
      <w:r w:rsidRPr="00054ECC">
        <w:rPr>
          <w:rFonts w:ascii="Verdana" w:hAnsi="Verdana"/>
        </w:rPr>
        <w:t>Si el remedio y la disposición de la decisión recurrida, a diferencia de sus fundamentos, son contrarios a derecho</w:t>
      </w:r>
      <w:r w:rsidR="001E527B">
        <w:rPr>
          <w:rFonts w:ascii="Verdana" w:hAnsi="Verdana"/>
        </w:rPr>
        <w:t>.</w:t>
      </w:r>
    </w:p>
    <w:p w14:paraId="70AAC6B7" w14:textId="77777777" w:rsidR="00054ECC" w:rsidRPr="00054ECC" w:rsidRDefault="00054ECC" w:rsidP="001E527B">
      <w:pPr>
        <w:ind w:left="720" w:right="810"/>
        <w:jc w:val="both"/>
        <w:rPr>
          <w:rFonts w:ascii="Verdana" w:hAnsi="Verdana"/>
        </w:rPr>
      </w:pPr>
      <w:r w:rsidRPr="00054ECC">
        <w:rPr>
          <w:rFonts w:ascii="Verdana" w:hAnsi="Verdana"/>
        </w:rPr>
        <w:t>(B)</w:t>
      </w:r>
      <w:r>
        <w:rPr>
          <w:rFonts w:ascii="Verdana" w:hAnsi="Verdana"/>
        </w:rPr>
        <w:t xml:space="preserve"> </w:t>
      </w:r>
      <w:r w:rsidRPr="00054ECC">
        <w:rPr>
          <w:rFonts w:ascii="Verdana" w:hAnsi="Verdana"/>
        </w:rPr>
        <w:t xml:space="preserve">Si la situación de hechos planteada es la más indicada para el análisis del problema. </w:t>
      </w:r>
    </w:p>
    <w:p w14:paraId="62963F2F" w14:textId="77777777" w:rsidR="00054ECC" w:rsidRPr="00054ECC" w:rsidRDefault="00054ECC" w:rsidP="001E527B">
      <w:pPr>
        <w:ind w:left="720" w:right="810"/>
        <w:jc w:val="both"/>
        <w:rPr>
          <w:rFonts w:ascii="Verdana" w:hAnsi="Verdana"/>
        </w:rPr>
      </w:pPr>
    </w:p>
    <w:p w14:paraId="3B742567" w14:textId="7F1254C0" w:rsidR="00054ECC" w:rsidRDefault="00054ECC" w:rsidP="001E527B">
      <w:pPr>
        <w:ind w:left="720" w:right="810"/>
        <w:jc w:val="both"/>
        <w:rPr>
          <w:rFonts w:ascii="Verdana" w:hAnsi="Verdana"/>
        </w:rPr>
      </w:pPr>
      <w:r w:rsidRPr="00054ECC">
        <w:rPr>
          <w:rFonts w:ascii="Verdana" w:hAnsi="Verdana"/>
        </w:rPr>
        <w:t>(C)</w:t>
      </w:r>
      <w:r>
        <w:rPr>
          <w:rFonts w:ascii="Verdana" w:hAnsi="Verdana"/>
        </w:rPr>
        <w:t xml:space="preserve"> </w:t>
      </w:r>
      <w:r w:rsidRPr="00054ECC">
        <w:rPr>
          <w:rFonts w:ascii="Verdana" w:hAnsi="Verdana"/>
        </w:rPr>
        <w:t xml:space="preserve">Si ha mediado prejuicio, parcialidad o error craso y manifiesto en la apreciación de la prueba por el Tribunal de Primera Instancia. </w:t>
      </w:r>
    </w:p>
    <w:p w14:paraId="7D4A56D6" w14:textId="77777777" w:rsidR="00AD650E" w:rsidRPr="00054ECC" w:rsidRDefault="00AD650E" w:rsidP="001E527B">
      <w:pPr>
        <w:ind w:left="720" w:right="810"/>
        <w:jc w:val="both"/>
        <w:rPr>
          <w:rFonts w:ascii="Verdana" w:hAnsi="Verdana"/>
        </w:rPr>
      </w:pPr>
    </w:p>
    <w:p w14:paraId="71CBBE9A" w14:textId="77777777" w:rsidR="00054ECC" w:rsidRPr="00054ECC" w:rsidRDefault="00054ECC" w:rsidP="001E527B">
      <w:pPr>
        <w:ind w:left="720" w:right="810"/>
        <w:jc w:val="both"/>
        <w:rPr>
          <w:rFonts w:ascii="Verdana" w:hAnsi="Verdana"/>
        </w:rPr>
      </w:pPr>
      <w:r w:rsidRPr="00054ECC">
        <w:rPr>
          <w:rFonts w:ascii="Verdana" w:hAnsi="Verdana"/>
        </w:rPr>
        <w:t>(D)</w:t>
      </w:r>
      <w:r>
        <w:rPr>
          <w:rFonts w:ascii="Verdana" w:hAnsi="Verdana"/>
        </w:rPr>
        <w:t xml:space="preserve"> </w:t>
      </w:r>
      <w:r w:rsidRPr="00054ECC">
        <w:rPr>
          <w:rFonts w:ascii="Verdana" w:hAnsi="Verdana"/>
        </w:rPr>
        <w:t xml:space="preserve">Si el asunto planteado exige consideración más detenida a la luz de los autos originales, los cuales deberán ser elevados, o de alegatos más elaborados. </w:t>
      </w:r>
    </w:p>
    <w:p w14:paraId="305C0026" w14:textId="77777777" w:rsidR="00054ECC" w:rsidRPr="00054ECC" w:rsidRDefault="00054ECC" w:rsidP="001E527B">
      <w:pPr>
        <w:ind w:left="720" w:right="810"/>
        <w:jc w:val="both"/>
        <w:rPr>
          <w:rFonts w:ascii="Verdana" w:hAnsi="Verdana"/>
        </w:rPr>
      </w:pPr>
    </w:p>
    <w:p w14:paraId="547E825A" w14:textId="77777777" w:rsidR="00054ECC" w:rsidRPr="00054ECC" w:rsidRDefault="00054ECC" w:rsidP="001E527B">
      <w:pPr>
        <w:ind w:left="720" w:right="810"/>
        <w:jc w:val="both"/>
        <w:rPr>
          <w:rFonts w:ascii="Verdana" w:hAnsi="Verdana"/>
        </w:rPr>
      </w:pPr>
      <w:r w:rsidRPr="00054ECC">
        <w:rPr>
          <w:rFonts w:ascii="Verdana" w:hAnsi="Verdana"/>
        </w:rPr>
        <w:t>(E)</w:t>
      </w:r>
      <w:r>
        <w:rPr>
          <w:rFonts w:ascii="Verdana" w:hAnsi="Verdana"/>
        </w:rPr>
        <w:t xml:space="preserve"> </w:t>
      </w:r>
      <w:r w:rsidRPr="00054ECC">
        <w:rPr>
          <w:rFonts w:ascii="Verdana" w:hAnsi="Verdana"/>
        </w:rPr>
        <w:t xml:space="preserve">Si la etapa del procedimiento en que se presenta el caso es la más propicia para su consideración. </w:t>
      </w:r>
    </w:p>
    <w:p w14:paraId="145B9AA7" w14:textId="77777777" w:rsidR="00054ECC" w:rsidRPr="00054ECC" w:rsidRDefault="00054ECC" w:rsidP="001E527B">
      <w:pPr>
        <w:ind w:left="720" w:right="810"/>
        <w:jc w:val="both"/>
        <w:rPr>
          <w:rFonts w:ascii="Verdana" w:hAnsi="Verdana"/>
        </w:rPr>
      </w:pPr>
    </w:p>
    <w:p w14:paraId="1948B7FC" w14:textId="77777777" w:rsidR="00054ECC" w:rsidRPr="00054ECC" w:rsidRDefault="00054ECC" w:rsidP="001E527B">
      <w:pPr>
        <w:ind w:left="720" w:right="810"/>
        <w:jc w:val="both"/>
        <w:rPr>
          <w:rFonts w:ascii="Verdana" w:hAnsi="Verdana"/>
        </w:rPr>
      </w:pPr>
      <w:r w:rsidRPr="00054ECC">
        <w:rPr>
          <w:rFonts w:ascii="Verdana" w:hAnsi="Verdana"/>
        </w:rPr>
        <w:t>(F)</w:t>
      </w:r>
      <w:r>
        <w:rPr>
          <w:rFonts w:ascii="Verdana" w:hAnsi="Verdana"/>
        </w:rPr>
        <w:t xml:space="preserve"> </w:t>
      </w:r>
      <w:r w:rsidRPr="00054ECC">
        <w:rPr>
          <w:rFonts w:ascii="Verdana" w:hAnsi="Verdana"/>
        </w:rPr>
        <w:t xml:space="preserve">Si la expedición del auto o de la orden de mostrar causa no causan un fraccionamiento indebido del pleito y una dilación indeseable en la solución final del litigio. </w:t>
      </w:r>
    </w:p>
    <w:p w14:paraId="15C704AF" w14:textId="77777777" w:rsidR="00054ECC" w:rsidRPr="00054ECC" w:rsidRDefault="00054ECC" w:rsidP="001E527B">
      <w:pPr>
        <w:ind w:left="720" w:right="810"/>
        <w:jc w:val="both"/>
        <w:rPr>
          <w:rFonts w:ascii="Verdana" w:hAnsi="Verdana"/>
        </w:rPr>
      </w:pPr>
    </w:p>
    <w:p w14:paraId="0F0B61A7" w14:textId="25D2F9C6" w:rsidR="00090DB1" w:rsidRDefault="00054ECC" w:rsidP="001E527B">
      <w:pPr>
        <w:ind w:left="720" w:right="810"/>
        <w:jc w:val="both"/>
        <w:rPr>
          <w:rFonts w:ascii="Verdana" w:hAnsi="Verdana"/>
        </w:rPr>
      </w:pPr>
      <w:r w:rsidRPr="00054ECC">
        <w:rPr>
          <w:rFonts w:ascii="Verdana" w:hAnsi="Verdana"/>
        </w:rPr>
        <w:t>(G)</w:t>
      </w:r>
      <w:r>
        <w:rPr>
          <w:rFonts w:ascii="Verdana" w:hAnsi="Verdana"/>
        </w:rPr>
        <w:t xml:space="preserve"> </w:t>
      </w:r>
      <w:r w:rsidRPr="00054ECC">
        <w:rPr>
          <w:rFonts w:ascii="Verdana" w:hAnsi="Verdana"/>
        </w:rPr>
        <w:t>Si la expedición del auto o de la orden de mostrar causa evita un fracaso de la justicia.</w:t>
      </w:r>
    </w:p>
    <w:p w14:paraId="29C4D6E1" w14:textId="7F74472F" w:rsidR="00090DB1" w:rsidRDefault="00090DB1" w:rsidP="00090DB1">
      <w:pPr>
        <w:ind w:left="720" w:right="900"/>
        <w:jc w:val="both"/>
        <w:rPr>
          <w:rFonts w:ascii="Verdana" w:hAnsi="Verdana"/>
        </w:rPr>
      </w:pPr>
    </w:p>
    <w:p w14:paraId="2ADBC0EC" w14:textId="5B3DCAF1" w:rsidR="00090DB1" w:rsidRDefault="00090DB1" w:rsidP="00090DB1">
      <w:pPr>
        <w:spacing w:line="480" w:lineRule="auto"/>
        <w:jc w:val="both"/>
        <w:rPr>
          <w:lang w:eastAsia="es-PR"/>
        </w:rPr>
      </w:pPr>
      <w:r>
        <w:rPr>
          <w:rFonts w:ascii="Verdana" w:hAnsi="Verdana"/>
        </w:rPr>
        <w:tab/>
      </w:r>
      <w:r w:rsidRPr="004546D0">
        <w:rPr>
          <w:rFonts w:ascii="Verdana" w:hAnsi="Verdana"/>
          <w:lang w:eastAsia="es-PR"/>
        </w:rPr>
        <w:t xml:space="preserve">Solo podremos intervenir con el ejercicio de la discreción en aquellas situaciones en que se demuestre que el foro recurrido: (1) actuó con perjuicio o parcialidad: (2) incurrió en un craso abuso de discreción; o (3) se equivocó en interpretar o aplicar cualquier norma procesal o de derecho sustantivo. </w:t>
      </w:r>
      <w:r w:rsidRPr="004546D0">
        <w:rPr>
          <w:rFonts w:ascii="Verdana" w:hAnsi="Verdana"/>
          <w:u w:val="single"/>
          <w:lang w:eastAsia="es-PR"/>
        </w:rPr>
        <w:t>Rivera Durán v. Bco. Popular</w:t>
      </w:r>
      <w:r w:rsidRPr="00090DB1">
        <w:rPr>
          <w:rFonts w:ascii="Verdana" w:hAnsi="Verdana"/>
          <w:lang w:eastAsia="es-PR"/>
        </w:rPr>
        <w:t>,</w:t>
      </w:r>
      <w:r w:rsidRPr="004546D0">
        <w:rPr>
          <w:rFonts w:ascii="Verdana" w:hAnsi="Verdana"/>
          <w:lang w:eastAsia="es-PR"/>
        </w:rPr>
        <w:t xml:space="preserve"> 152 DPR 140, 155 (2000). </w:t>
      </w:r>
      <w:r>
        <w:rPr>
          <w:rFonts w:ascii="Verdana" w:hAnsi="Verdana"/>
          <w:lang w:eastAsia="es-PR"/>
        </w:rPr>
        <w:t xml:space="preserve">Aunque </w:t>
      </w:r>
      <w:r w:rsidRPr="004546D0">
        <w:rPr>
          <w:rFonts w:ascii="Verdana" w:hAnsi="Verdana"/>
          <w:lang w:eastAsia="es-PR"/>
        </w:rPr>
        <w:t xml:space="preserve">determinar si un tribunal ha abusado de su discreción no es tarea fácil, ello ciertamente está relacionado de forma estrecha con el concepto de razonabilidad. </w:t>
      </w:r>
      <w:r w:rsidRPr="004546D0">
        <w:rPr>
          <w:rFonts w:ascii="Verdana" w:hAnsi="Verdana"/>
          <w:i/>
          <w:iCs/>
          <w:lang w:eastAsia="es-PR"/>
        </w:rPr>
        <w:t>Íd</w:t>
      </w:r>
      <w:r w:rsidRPr="004546D0">
        <w:rPr>
          <w:rFonts w:ascii="Verdana" w:hAnsi="Verdana"/>
          <w:lang w:eastAsia="es-PR"/>
        </w:rPr>
        <w:t>.</w:t>
      </w:r>
      <w:r w:rsidRPr="004546D0">
        <w:rPr>
          <w:lang w:eastAsia="es-PR"/>
        </w:rPr>
        <w:t> </w:t>
      </w:r>
    </w:p>
    <w:p w14:paraId="75ADAFAE" w14:textId="1EE02258" w:rsidR="00071F4C" w:rsidRDefault="00090DB1" w:rsidP="00A41BAA">
      <w:pPr>
        <w:spacing w:line="480" w:lineRule="auto"/>
        <w:jc w:val="center"/>
        <w:rPr>
          <w:rFonts w:ascii="Verdana" w:hAnsi="Verdana"/>
          <w:b/>
          <w:bCs/>
          <w:lang w:eastAsia="es-PR"/>
        </w:rPr>
      </w:pPr>
      <w:r>
        <w:rPr>
          <w:rFonts w:ascii="Verdana" w:hAnsi="Verdana"/>
          <w:b/>
          <w:bCs/>
          <w:lang w:eastAsia="es-PR"/>
        </w:rPr>
        <w:t>-III-</w:t>
      </w:r>
    </w:p>
    <w:p w14:paraId="7662EB44" w14:textId="7436C1EB" w:rsidR="00754B77" w:rsidRDefault="00435096" w:rsidP="00435096">
      <w:pPr>
        <w:spacing w:line="480" w:lineRule="auto"/>
        <w:jc w:val="both"/>
        <w:rPr>
          <w:rFonts w:ascii="Verdana" w:hAnsi="Verdana"/>
          <w:lang w:eastAsia="es-PR"/>
        </w:rPr>
      </w:pPr>
      <w:r>
        <w:rPr>
          <w:rFonts w:ascii="Verdana" w:hAnsi="Verdana"/>
          <w:b/>
          <w:bCs/>
          <w:lang w:eastAsia="es-PR"/>
        </w:rPr>
        <w:tab/>
      </w:r>
      <w:r>
        <w:rPr>
          <w:rFonts w:ascii="Verdana" w:hAnsi="Verdana"/>
          <w:lang w:eastAsia="es-PR"/>
        </w:rPr>
        <w:t xml:space="preserve">El señor Medina </w:t>
      </w:r>
      <w:r w:rsidR="00B80328">
        <w:rPr>
          <w:rFonts w:ascii="Verdana" w:hAnsi="Verdana"/>
          <w:lang w:eastAsia="es-PR"/>
        </w:rPr>
        <w:t>sostiene</w:t>
      </w:r>
      <w:r>
        <w:rPr>
          <w:rFonts w:ascii="Verdana" w:hAnsi="Verdana"/>
          <w:lang w:eastAsia="es-PR"/>
        </w:rPr>
        <w:t xml:space="preserve"> que el </w:t>
      </w:r>
      <w:r w:rsidR="003D551D">
        <w:rPr>
          <w:rFonts w:ascii="Verdana" w:hAnsi="Verdana"/>
          <w:lang w:eastAsia="es-PR"/>
        </w:rPr>
        <w:t>TPI</w:t>
      </w:r>
      <w:r>
        <w:rPr>
          <w:rFonts w:ascii="Verdana" w:hAnsi="Verdana"/>
          <w:lang w:eastAsia="es-PR"/>
        </w:rPr>
        <w:t xml:space="preserve"> </w:t>
      </w:r>
      <w:r w:rsidR="003D551D">
        <w:rPr>
          <w:rFonts w:ascii="Verdana" w:hAnsi="Verdana"/>
          <w:lang w:eastAsia="es-PR"/>
        </w:rPr>
        <w:t>erró</w:t>
      </w:r>
      <w:r>
        <w:rPr>
          <w:rFonts w:ascii="Verdana" w:hAnsi="Verdana"/>
          <w:lang w:eastAsia="es-PR"/>
        </w:rPr>
        <w:t xml:space="preserve"> al aumentar de manera injustificada la fianza de $3,500.00 que se le impuso originalmente</w:t>
      </w:r>
      <w:r w:rsidR="003D551D">
        <w:rPr>
          <w:rFonts w:ascii="Verdana" w:hAnsi="Verdana"/>
          <w:lang w:eastAsia="es-PR"/>
        </w:rPr>
        <w:t xml:space="preserve">; ello, en contravención a las exigencias procesales establecidas en la Regla 218 de Procedimiento Criminal, </w:t>
      </w:r>
      <w:r w:rsidR="003D551D">
        <w:rPr>
          <w:rFonts w:ascii="Verdana" w:hAnsi="Verdana"/>
          <w:i/>
          <w:iCs/>
          <w:lang w:eastAsia="es-PR"/>
        </w:rPr>
        <w:t>supra</w:t>
      </w:r>
      <w:r w:rsidR="003D551D">
        <w:rPr>
          <w:rFonts w:ascii="Verdana" w:hAnsi="Verdana"/>
          <w:lang w:eastAsia="es-PR"/>
        </w:rPr>
        <w:t>.</w:t>
      </w:r>
      <w:r w:rsidR="00B80328">
        <w:rPr>
          <w:rFonts w:ascii="Verdana" w:hAnsi="Verdana"/>
          <w:lang w:eastAsia="es-PR"/>
        </w:rPr>
        <w:t xml:space="preserve"> </w:t>
      </w:r>
      <w:r w:rsidR="00CA641B">
        <w:rPr>
          <w:rFonts w:ascii="Verdana" w:hAnsi="Verdana"/>
          <w:lang w:eastAsia="es-PR"/>
        </w:rPr>
        <w:t xml:space="preserve">Plantea </w:t>
      </w:r>
      <w:r w:rsidR="00F8794C">
        <w:rPr>
          <w:rFonts w:ascii="Verdana" w:hAnsi="Verdana"/>
          <w:lang w:eastAsia="es-PR"/>
        </w:rPr>
        <w:t xml:space="preserve">que el delito imputado no </w:t>
      </w:r>
      <w:r w:rsidR="00CA641B">
        <w:rPr>
          <w:rFonts w:ascii="Verdana" w:hAnsi="Verdana"/>
          <w:lang w:eastAsia="es-PR"/>
        </w:rPr>
        <w:t xml:space="preserve">es de </w:t>
      </w:r>
      <w:r w:rsidR="00957D04">
        <w:rPr>
          <w:rFonts w:ascii="Verdana" w:hAnsi="Verdana"/>
          <w:lang w:eastAsia="es-PR"/>
        </w:rPr>
        <w:t>carácter</w:t>
      </w:r>
      <w:r w:rsidR="00CA641B">
        <w:rPr>
          <w:rFonts w:ascii="Verdana" w:hAnsi="Verdana"/>
          <w:lang w:eastAsia="es-PR"/>
        </w:rPr>
        <w:t xml:space="preserve"> violent</w:t>
      </w:r>
      <w:r w:rsidR="00957D04">
        <w:rPr>
          <w:rFonts w:ascii="Verdana" w:hAnsi="Verdana"/>
          <w:lang w:eastAsia="es-PR"/>
        </w:rPr>
        <w:t>o</w:t>
      </w:r>
      <w:r w:rsidR="00CA641B">
        <w:rPr>
          <w:rFonts w:ascii="Verdana" w:hAnsi="Verdana"/>
          <w:lang w:eastAsia="es-PR"/>
        </w:rPr>
        <w:t xml:space="preserve">, lo cual </w:t>
      </w:r>
      <w:r w:rsidR="00CA641B">
        <w:rPr>
          <w:rFonts w:ascii="Verdana" w:hAnsi="Verdana"/>
          <w:lang w:eastAsia="es-PR"/>
        </w:rPr>
        <w:lastRenderedPageBreak/>
        <w:t>constituyó una razón de peso para que, inicialmente, se le impusiera una fianza</w:t>
      </w:r>
      <w:r w:rsidR="001E527B">
        <w:rPr>
          <w:rFonts w:ascii="Verdana" w:hAnsi="Verdana"/>
          <w:lang w:eastAsia="es-PR"/>
        </w:rPr>
        <w:t xml:space="preserve"> razonable</w:t>
      </w:r>
      <w:r w:rsidR="00AD650E">
        <w:rPr>
          <w:rFonts w:ascii="Verdana" w:hAnsi="Verdana"/>
          <w:lang w:eastAsia="es-PR"/>
        </w:rPr>
        <w:t xml:space="preserve">. </w:t>
      </w:r>
      <w:r w:rsidR="00C26B56">
        <w:rPr>
          <w:rFonts w:ascii="Verdana" w:hAnsi="Verdana"/>
          <w:lang w:eastAsia="es-PR"/>
        </w:rPr>
        <w:t xml:space="preserve">De igual modo, afirmó que los datos contenidos en el informe del PSAJ no </w:t>
      </w:r>
      <w:r w:rsidR="00957D04">
        <w:rPr>
          <w:rFonts w:ascii="Verdana" w:hAnsi="Verdana"/>
          <w:lang w:eastAsia="es-PR"/>
        </w:rPr>
        <w:t>favorecen el aumento excesivo de fianza que el TPI autorizó el 7 de mayo de 2021.</w:t>
      </w:r>
      <w:r w:rsidR="00DE29B8">
        <w:rPr>
          <w:rFonts w:ascii="Verdana" w:hAnsi="Verdana"/>
          <w:lang w:eastAsia="es-PR"/>
        </w:rPr>
        <w:t xml:space="preserve"> Particularmente, el señor Medina </w:t>
      </w:r>
      <w:r w:rsidR="00EA720E">
        <w:rPr>
          <w:rFonts w:ascii="Verdana" w:hAnsi="Verdana"/>
          <w:lang w:eastAsia="es-PR"/>
        </w:rPr>
        <w:t>aseguró</w:t>
      </w:r>
      <w:r w:rsidR="00DE29B8">
        <w:rPr>
          <w:rFonts w:ascii="Verdana" w:hAnsi="Verdana"/>
          <w:lang w:eastAsia="es-PR"/>
        </w:rPr>
        <w:t xml:space="preserve"> tener suficientes nexos con su comunidad</w:t>
      </w:r>
      <w:r w:rsidR="00014DD6">
        <w:rPr>
          <w:rFonts w:ascii="Verdana" w:hAnsi="Verdana"/>
          <w:lang w:eastAsia="es-PR"/>
        </w:rPr>
        <w:t xml:space="preserve">, </w:t>
      </w:r>
      <w:r w:rsidR="00EA720E">
        <w:rPr>
          <w:rFonts w:ascii="Verdana" w:hAnsi="Verdana"/>
          <w:lang w:eastAsia="es-PR"/>
        </w:rPr>
        <w:t>puesto que</w:t>
      </w:r>
      <w:r w:rsidR="00014DD6">
        <w:rPr>
          <w:rFonts w:ascii="Verdana" w:hAnsi="Verdana"/>
          <w:lang w:eastAsia="es-PR"/>
        </w:rPr>
        <w:t xml:space="preserve"> ha residido en la misma dirección por más de 25 años y, en la actualidad, </w:t>
      </w:r>
      <w:r w:rsidR="00EA720E">
        <w:rPr>
          <w:rFonts w:ascii="Verdana" w:hAnsi="Verdana"/>
          <w:lang w:eastAsia="es-PR"/>
        </w:rPr>
        <w:t xml:space="preserve">continúa trabajando </w:t>
      </w:r>
      <w:r w:rsidR="00014DD6">
        <w:rPr>
          <w:rFonts w:ascii="Verdana" w:hAnsi="Verdana"/>
          <w:lang w:eastAsia="es-PR"/>
        </w:rPr>
        <w:t>en su negocio</w:t>
      </w:r>
      <w:r w:rsidR="00EA720E">
        <w:rPr>
          <w:rFonts w:ascii="Verdana" w:hAnsi="Verdana"/>
          <w:lang w:eastAsia="es-PR"/>
        </w:rPr>
        <w:t xml:space="preserve"> de llaves</w:t>
      </w:r>
      <w:r w:rsidR="00014DD6">
        <w:rPr>
          <w:rFonts w:ascii="Verdana" w:hAnsi="Verdana"/>
          <w:lang w:eastAsia="es-PR"/>
        </w:rPr>
        <w:t xml:space="preserve">. </w:t>
      </w:r>
    </w:p>
    <w:p w14:paraId="1EB42A91" w14:textId="57213F08" w:rsidR="0084515D" w:rsidRDefault="00EA720E" w:rsidP="00754B77">
      <w:pPr>
        <w:spacing w:line="480" w:lineRule="auto"/>
        <w:ind w:firstLine="720"/>
        <w:jc w:val="both"/>
        <w:rPr>
          <w:rFonts w:ascii="Verdana" w:hAnsi="Verdana"/>
          <w:lang w:eastAsia="es-PR"/>
        </w:rPr>
      </w:pPr>
      <w:r>
        <w:rPr>
          <w:rFonts w:ascii="Verdana" w:hAnsi="Verdana"/>
          <w:lang w:eastAsia="es-PR"/>
        </w:rPr>
        <w:t xml:space="preserve">Entre otras cosas, </w:t>
      </w:r>
      <w:r w:rsidR="00754B77">
        <w:rPr>
          <w:rFonts w:ascii="Verdana" w:hAnsi="Verdana"/>
          <w:lang w:eastAsia="es-PR"/>
        </w:rPr>
        <w:t xml:space="preserve">el peticionario </w:t>
      </w:r>
      <w:r>
        <w:rPr>
          <w:rFonts w:ascii="Verdana" w:hAnsi="Verdana"/>
          <w:lang w:eastAsia="es-PR"/>
        </w:rPr>
        <w:t>subrayó qu</w:t>
      </w:r>
      <w:r w:rsidR="00A94D57">
        <w:rPr>
          <w:rFonts w:ascii="Verdana" w:hAnsi="Verdana"/>
          <w:lang w:eastAsia="es-PR"/>
        </w:rPr>
        <w:t xml:space="preserve">e ha cumplido con las condiciones de libertad bajo fianza </w:t>
      </w:r>
      <w:r w:rsidR="00754B77">
        <w:rPr>
          <w:rFonts w:ascii="Verdana" w:hAnsi="Verdana"/>
          <w:lang w:eastAsia="es-PR"/>
        </w:rPr>
        <w:t>que se le impusieron en otro proceso penal que pende en su contra, por el delito de asesinato en primer grado y dos infracciones a la Ley de Armas</w:t>
      </w:r>
      <w:r w:rsidR="0084515D">
        <w:rPr>
          <w:rFonts w:ascii="Verdana" w:hAnsi="Verdana"/>
          <w:lang w:eastAsia="es-PR"/>
        </w:rPr>
        <w:t xml:space="preserve">. </w:t>
      </w:r>
      <w:r w:rsidR="006814DB">
        <w:rPr>
          <w:rFonts w:ascii="Verdana" w:hAnsi="Verdana"/>
          <w:lang w:eastAsia="es-PR"/>
        </w:rPr>
        <w:t>Por tanto</w:t>
      </w:r>
      <w:r w:rsidR="00754B77">
        <w:rPr>
          <w:rFonts w:ascii="Verdana" w:hAnsi="Verdana"/>
          <w:lang w:eastAsia="es-PR"/>
        </w:rPr>
        <w:t xml:space="preserve">, sostiene que su historial de comparecencias ante nuestros tribunales es </w:t>
      </w:r>
      <w:r w:rsidR="002A7A81">
        <w:rPr>
          <w:rFonts w:ascii="Verdana" w:hAnsi="Verdana"/>
          <w:lang w:eastAsia="es-PR"/>
        </w:rPr>
        <w:t>positivo.</w:t>
      </w:r>
      <w:r w:rsidR="006F3DA4">
        <w:rPr>
          <w:rFonts w:ascii="Verdana" w:hAnsi="Verdana"/>
          <w:lang w:eastAsia="es-PR"/>
        </w:rPr>
        <w:t xml:space="preserve"> Finalmente, </w:t>
      </w:r>
      <w:r w:rsidR="006814DB">
        <w:rPr>
          <w:rFonts w:ascii="Verdana" w:hAnsi="Verdana"/>
          <w:lang w:eastAsia="es-PR"/>
        </w:rPr>
        <w:t>el peticionario</w:t>
      </w:r>
      <w:r w:rsidR="001E527B">
        <w:rPr>
          <w:rFonts w:ascii="Verdana" w:hAnsi="Verdana"/>
          <w:lang w:eastAsia="es-PR"/>
        </w:rPr>
        <w:t xml:space="preserve"> arguyó que el Ministerio Público falló en su deber de probar la existencia de un riesgo de fuga. Recalcó</w:t>
      </w:r>
      <w:r w:rsidR="000A3E1E">
        <w:rPr>
          <w:rFonts w:ascii="Verdana" w:hAnsi="Verdana"/>
          <w:lang w:eastAsia="es-PR"/>
        </w:rPr>
        <w:t xml:space="preserve"> que, a tenor con la Regla 218 de Procedimiento Criminal, </w:t>
      </w:r>
      <w:r w:rsidR="000A3E1E">
        <w:rPr>
          <w:rFonts w:ascii="Verdana" w:hAnsi="Verdana"/>
          <w:i/>
          <w:iCs/>
          <w:lang w:eastAsia="es-PR"/>
        </w:rPr>
        <w:t>supra</w:t>
      </w:r>
      <w:r w:rsidR="000A3E1E">
        <w:rPr>
          <w:rFonts w:ascii="Verdana" w:hAnsi="Verdana"/>
          <w:lang w:eastAsia="es-PR"/>
        </w:rPr>
        <w:t>, el Ministerio Público</w:t>
      </w:r>
      <w:r w:rsidR="0084515D">
        <w:rPr>
          <w:rFonts w:ascii="Verdana" w:hAnsi="Verdana"/>
          <w:lang w:eastAsia="es-PR"/>
        </w:rPr>
        <w:t xml:space="preserve"> venía obligado a presentar evidencia que justificara el aumento de fianza, lo cual no hizo.</w:t>
      </w:r>
    </w:p>
    <w:p w14:paraId="5CDED0D5" w14:textId="60AA9CEF" w:rsidR="00DB1412" w:rsidRDefault="0084515D" w:rsidP="00754B77">
      <w:pPr>
        <w:spacing w:line="480" w:lineRule="auto"/>
        <w:ind w:firstLine="720"/>
        <w:jc w:val="both"/>
        <w:rPr>
          <w:rFonts w:ascii="Verdana" w:hAnsi="Verdana"/>
          <w:lang w:eastAsia="es-PR"/>
        </w:rPr>
      </w:pPr>
      <w:r>
        <w:rPr>
          <w:rFonts w:ascii="Verdana" w:hAnsi="Verdana"/>
          <w:lang w:eastAsia="es-PR"/>
        </w:rPr>
        <w:t>Por su parte, el Procurado</w:t>
      </w:r>
      <w:r w:rsidR="00FB748D">
        <w:rPr>
          <w:rFonts w:ascii="Verdana" w:hAnsi="Verdana"/>
          <w:lang w:eastAsia="es-PR"/>
        </w:rPr>
        <w:t>r defiend</w:t>
      </w:r>
      <w:r w:rsidR="00EF0479">
        <w:rPr>
          <w:rFonts w:ascii="Verdana" w:hAnsi="Verdana"/>
          <w:lang w:eastAsia="es-PR"/>
        </w:rPr>
        <w:t xml:space="preserve">e la corrección </w:t>
      </w:r>
      <w:r w:rsidR="00716F5B">
        <w:rPr>
          <w:rFonts w:ascii="Verdana" w:hAnsi="Verdana"/>
          <w:lang w:eastAsia="es-PR"/>
        </w:rPr>
        <w:t xml:space="preserve">de la </w:t>
      </w:r>
      <w:r w:rsidR="00716F5B">
        <w:rPr>
          <w:rFonts w:ascii="Verdana" w:hAnsi="Verdana"/>
          <w:i/>
          <w:iCs/>
          <w:lang w:eastAsia="es-PR"/>
        </w:rPr>
        <w:t xml:space="preserve">Resolución </w:t>
      </w:r>
      <w:r w:rsidR="00716F5B">
        <w:rPr>
          <w:rFonts w:ascii="Verdana" w:hAnsi="Verdana"/>
          <w:lang w:eastAsia="es-PR"/>
        </w:rPr>
        <w:t xml:space="preserve">recurrida y señala que el </w:t>
      </w:r>
      <w:r w:rsidR="009037E2">
        <w:rPr>
          <w:rFonts w:ascii="Verdana" w:hAnsi="Verdana"/>
          <w:lang w:eastAsia="es-PR"/>
        </w:rPr>
        <w:t>foro primario</w:t>
      </w:r>
      <w:r w:rsidR="00716F5B">
        <w:rPr>
          <w:rFonts w:ascii="Verdana" w:hAnsi="Verdana"/>
          <w:lang w:eastAsia="es-PR"/>
        </w:rPr>
        <w:t xml:space="preserve"> no </w:t>
      </w:r>
      <w:r w:rsidR="009037E2">
        <w:rPr>
          <w:rFonts w:ascii="Verdana" w:hAnsi="Verdana"/>
          <w:lang w:eastAsia="es-PR"/>
        </w:rPr>
        <w:t>cometió</w:t>
      </w:r>
      <w:r w:rsidR="00716F5B">
        <w:rPr>
          <w:rFonts w:ascii="Verdana" w:hAnsi="Verdana"/>
          <w:lang w:eastAsia="es-PR"/>
        </w:rPr>
        <w:t xml:space="preserve"> </w:t>
      </w:r>
      <w:r w:rsidR="009037E2">
        <w:rPr>
          <w:rFonts w:ascii="Verdana" w:hAnsi="Verdana"/>
          <w:lang w:eastAsia="es-PR"/>
        </w:rPr>
        <w:t xml:space="preserve">un craso </w:t>
      </w:r>
      <w:r w:rsidR="00716F5B">
        <w:rPr>
          <w:rFonts w:ascii="Verdana" w:hAnsi="Verdana"/>
          <w:lang w:eastAsia="es-PR"/>
        </w:rPr>
        <w:t>abuso de discreción al aumentar la fianza</w:t>
      </w:r>
      <w:r w:rsidR="00B73F25">
        <w:rPr>
          <w:rFonts w:ascii="Verdana" w:hAnsi="Verdana"/>
          <w:lang w:eastAsia="es-PR"/>
        </w:rPr>
        <w:t xml:space="preserve"> </w:t>
      </w:r>
      <w:r w:rsidR="00C34AC6">
        <w:rPr>
          <w:rFonts w:ascii="Verdana" w:hAnsi="Verdana"/>
          <w:lang w:eastAsia="es-PR"/>
        </w:rPr>
        <w:t>“</w:t>
      </w:r>
      <w:r w:rsidR="00B73F25">
        <w:rPr>
          <w:rFonts w:ascii="Verdana" w:hAnsi="Verdana"/>
          <w:lang w:eastAsia="es-PR"/>
        </w:rPr>
        <w:t>ínfima</w:t>
      </w:r>
      <w:r w:rsidR="00C34AC6">
        <w:rPr>
          <w:rFonts w:ascii="Verdana" w:hAnsi="Verdana"/>
          <w:lang w:eastAsia="es-PR"/>
        </w:rPr>
        <w:t>”</w:t>
      </w:r>
      <w:r w:rsidR="00B73F25">
        <w:rPr>
          <w:rFonts w:ascii="Verdana" w:hAnsi="Verdana"/>
          <w:lang w:eastAsia="es-PR"/>
        </w:rPr>
        <w:t xml:space="preserve"> </w:t>
      </w:r>
      <w:r w:rsidR="00716F5B">
        <w:rPr>
          <w:rFonts w:ascii="Verdana" w:hAnsi="Verdana"/>
          <w:lang w:eastAsia="es-PR"/>
        </w:rPr>
        <w:t>que se le fijó originalmente al señor Medina.</w:t>
      </w:r>
      <w:r w:rsidR="006B2FD3">
        <w:rPr>
          <w:rFonts w:ascii="Verdana" w:hAnsi="Verdana"/>
          <w:lang w:eastAsia="es-PR"/>
        </w:rPr>
        <w:t xml:space="preserve"> Afirmó que el TPI sopesó de manera adecuada las circunstancias que rodearon la presunta comisión del nuevo delito.</w:t>
      </w:r>
      <w:r w:rsidR="00C50ED6">
        <w:rPr>
          <w:rFonts w:ascii="Verdana" w:hAnsi="Verdana"/>
          <w:lang w:eastAsia="es-PR"/>
        </w:rPr>
        <w:t xml:space="preserve"> </w:t>
      </w:r>
      <w:r w:rsidR="006B2FD3">
        <w:rPr>
          <w:rFonts w:ascii="Verdana" w:hAnsi="Verdana"/>
          <w:lang w:eastAsia="es-PR"/>
        </w:rPr>
        <w:t>En ese sentido,</w:t>
      </w:r>
      <w:r w:rsidR="00E170D6">
        <w:rPr>
          <w:rFonts w:ascii="Verdana" w:hAnsi="Verdana"/>
          <w:lang w:eastAsia="es-PR"/>
        </w:rPr>
        <w:t xml:space="preserve"> argu</w:t>
      </w:r>
      <w:r w:rsidR="009037E2">
        <w:rPr>
          <w:rFonts w:ascii="Verdana" w:hAnsi="Verdana"/>
          <w:lang w:eastAsia="es-PR"/>
        </w:rPr>
        <w:t>yó</w:t>
      </w:r>
      <w:r w:rsidR="00E170D6">
        <w:rPr>
          <w:rFonts w:ascii="Verdana" w:hAnsi="Verdana"/>
          <w:lang w:eastAsia="es-PR"/>
        </w:rPr>
        <w:t xml:space="preserve"> </w:t>
      </w:r>
      <w:r w:rsidR="006E3216">
        <w:rPr>
          <w:rFonts w:ascii="Verdana" w:hAnsi="Verdana"/>
          <w:lang w:eastAsia="es-PR"/>
        </w:rPr>
        <w:t xml:space="preserve">que el peticionario representa un alto riesgo de fuga, por razón de que este incurrió en conducta delictiva mientras enfrenta otro proceso criminal </w:t>
      </w:r>
      <w:r w:rsidR="002A36A3">
        <w:rPr>
          <w:rFonts w:ascii="Verdana" w:hAnsi="Verdana"/>
          <w:lang w:eastAsia="es-PR"/>
        </w:rPr>
        <w:t>por delito</w:t>
      </w:r>
      <w:r w:rsidR="009037E2">
        <w:rPr>
          <w:rFonts w:ascii="Verdana" w:hAnsi="Verdana"/>
          <w:lang w:eastAsia="es-PR"/>
        </w:rPr>
        <w:t>s violentos.</w:t>
      </w:r>
    </w:p>
    <w:p w14:paraId="2DDBAE36" w14:textId="75EF152F" w:rsidR="00C50ED6" w:rsidRDefault="00572DC8" w:rsidP="00DB1412">
      <w:pPr>
        <w:spacing w:line="480" w:lineRule="auto"/>
        <w:ind w:firstLine="720"/>
        <w:jc w:val="both"/>
        <w:rPr>
          <w:rFonts w:ascii="Verdana" w:hAnsi="Verdana"/>
          <w:color w:val="000000"/>
        </w:rPr>
      </w:pPr>
      <w:r>
        <w:rPr>
          <w:rFonts w:ascii="Verdana" w:hAnsi="Verdana"/>
          <w:lang w:eastAsia="es-PR"/>
        </w:rPr>
        <w:t xml:space="preserve">Asimismo, indicó que el TPI no tan solo tiene la responsabilidad de fijar una fianza y condiciones que propendan a </w:t>
      </w:r>
      <w:r>
        <w:rPr>
          <w:rFonts w:ascii="Verdana" w:hAnsi="Verdana"/>
          <w:lang w:eastAsia="es-PR"/>
        </w:rPr>
        <w:lastRenderedPageBreak/>
        <w:t xml:space="preserve">asegurar la presencia del imputado, sino que, </w:t>
      </w:r>
      <w:r w:rsidRPr="00311123">
        <w:rPr>
          <w:rFonts w:ascii="Verdana" w:hAnsi="Verdana"/>
          <w:lang w:eastAsia="es-PR"/>
        </w:rPr>
        <w:t xml:space="preserve">además, su deber ministerial le exige </w:t>
      </w:r>
      <w:r w:rsidR="00311123" w:rsidRPr="00311123">
        <w:rPr>
          <w:rFonts w:ascii="Verdana" w:hAnsi="Verdana"/>
          <w:lang w:eastAsia="es-PR"/>
        </w:rPr>
        <w:t>proteger</w:t>
      </w:r>
      <w:r w:rsidRPr="00311123">
        <w:rPr>
          <w:rFonts w:ascii="Verdana" w:hAnsi="Verdana"/>
          <w:lang w:eastAsia="es-PR"/>
        </w:rPr>
        <w:t xml:space="preserve"> la seguridad pública</w:t>
      </w:r>
      <w:r w:rsidR="00311123">
        <w:rPr>
          <w:rFonts w:ascii="Verdana" w:hAnsi="Verdana"/>
          <w:lang w:eastAsia="es-PR"/>
        </w:rPr>
        <w:t xml:space="preserve">. </w:t>
      </w:r>
      <w:r w:rsidR="00DB1412">
        <w:rPr>
          <w:rFonts w:ascii="Verdana" w:hAnsi="Verdana"/>
          <w:lang w:eastAsia="es-PR"/>
        </w:rPr>
        <w:t>Al</w:t>
      </w:r>
      <w:r w:rsidR="00311123">
        <w:rPr>
          <w:rFonts w:ascii="Verdana" w:hAnsi="Verdana"/>
          <w:lang w:eastAsia="es-PR"/>
        </w:rPr>
        <w:t xml:space="preserve"> concluir</w:t>
      </w:r>
      <w:r w:rsidR="002C3425" w:rsidRPr="00311123">
        <w:rPr>
          <w:rFonts w:ascii="Verdana" w:hAnsi="Verdana"/>
          <w:lang w:eastAsia="es-PR"/>
        </w:rPr>
        <w:t>, el Procurador atestó que</w:t>
      </w:r>
      <w:r w:rsidR="00161616" w:rsidRPr="00311123">
        <w:rPr>
          <w:rFonts w:ascii="Verdana" w:hAnsi="Verdana"/>
          <w:lang w:eastAsia="es-PR"/>
        </w:rPr>
        <w:t xml:space="preserve"> </w:t>
      </w:r>
      <w:r w:rsidR="002C3425" w:rsidRPr="00311123">
        <w:rPr>
          <w:rFonts w:ascii="Verdana" w:hAnsi="Verdana"/>
          <w:lang w:eastAsia="es-PR"/>
        </w:rPr>
        <w:t xml:space="preserve">el </w:t>
      </w:r>
      <w:r w:rsidR="00161616" w:rsidRPr="00311123">
        <w:rPr>
          <w:rFonts w:ascii="Verdana" w:hAnsi="Verdana"/>
          <w:lang w:eastAsia="es-PR"/>
        </w:rPr>
        <w:t>peticionario</w:t>
      </w:r>
      <w:r w:rsidR="002C3425" w:rsidRPr="00311123">
        <w:rPr>
          <w:rFonts w:ascii="Verdana" w:hAnsi="Verdana"/>
          <w:lang w:eastAsia="es-PR"/>
        </w:rPr>
        <w:t xml:space="preserve"> es una persona</w:t>
      </w:r>
      <w:r w:rsidR="00311123" w:rsidRPr="00311123">
        <w:rPr>
          <w:rFonts w:ascii="Verdana" w:hAnsi="Verdana"/>
          <w:lang w:eastAsia="es-PR"/>
        </w:rPr>
        <w:t xml:space="preserve"> </w:t>
      </w:r>
      <w:r w:rsidR="002C3425" w:rsidRPr="00311123">
        <w:rPr>
          <w:rFonts w:ascii="Verdana" w:hAnsi="Verdana"/>
          <w:lang w:eastAsia="es-PR"/>
        </w:rPr>
        <w:t>peligrosa</w:t>
      </w:r>
      <w:r w:rsidR="00161616" w:rsidRPr="00311123">
        <w:rPr>
          <w:rFonts w:ascii="Verdana" w:hAnsi="Verdana"/>
          <w:lang w:eastAsia="es-PR"/>
        </w:rPr>
        <w:t xml:space="preserve"> que fue capaz de cometer un delito ante el PSAJ,</w:t>
      </w:r>
      <w:r w:rsidR="00311123">
        <w:rPr>
          <w:rFonts w:ascii="Verdana" w:hAnsi="Verdana"/>
          <w:lang w:eastAsia="es-PR"/>
        </w:rPr>
        <w:t xml:space="preserve"> </w:t>
      </w:r>
      <w:r w:rsidR="00B73F25">
        <w:rPr>
          <w:rFonts w:ascii="Verdana" w:hAnsi="Verdana"/>
          <w:lang w:eastAsia="es-PR"/>
        </w:rPr>
        <w:t>entidad del Estado</w:t>
      </w:r>
      <w:r w:rsidR="00161616" w:rsidRPr="00311123">
        <w:rPr>
          <w:rFonts w:ascii="Verdana" w:hAnsi="Verdana"/>
          <w:lang w:eastAsia="es-PR"/>
        </w:rPr>
        <w:t xml:space="preserve"> </w:t>
      </w:r>
      <w:r w:rsidR="00311123" w:rsidRPr="00311123">
        <w:rPr>
          <w:rFonts w:ascii="Verdana" w:hAnsi="Verdana"/>
          <w:lang w:eastAsia="es-PR"/>
        </w:rPr>
        <w:t xml:space="preserve">responsable </w:t>
      </w:r>
      <w:r w:rsidR="00311123" w:rsidRPr="00311123">
        <w:rPr>
          <w:rFonts w:ascii="Verdana" w:hAnsi="Verdana"/>
          <w:color w:val="000000"/>
        </w:rPr>
        <w:t xml:space="preserve">de evaluar a </w:t>
      </w:r>
      <w:r w:rsidR="00311123">
        <w:rPr>
          <w:rFonts w:ascii="Verdana" w:hAnsi="Verdana"/>
          <w:color w:val="000000"/>
        </w:rPr>
        <w:t>los</w:t>
      </w:r>
      <w:r w:rsidR="00311123" w:rsidRPr="00311123">
        <w:rPr>
          <w:rFonts w:ascii="Verdana" w:hAnsi="Verdana"/>
          <w:color w:val="000000"/>
        </w:rPr>
        <w:t xml:space="preserve"> imputado</w:t>
      </w:r>
      <w:r w:rsidR="00311123">
        <w:rPr>
          <w:rFonts w:ascii="Verdana" w:hAnsi="Verdana"/>
          <w:color w:val="000000"/>
        </w:rPr>
        <w:t>s</w:t>
      </w:r>
      <w:r w:rsidR="00311123" w:rsidRPr="00311123">
        <w:rPr>
          <w:rFonts w:ascii="Verdana" w:hAnsi="Verdana"/>
          <w:color w:val="000000"/>
        </w:rPr>
        <w:t xml:space="preserve"> de ciertos delitos, </w:t>
      </w:r>
      <w:r w:rsidR="00B73F25">
        <w:rPr>
          <w:rFonts w:ascii="Verdana" w:hAnsi="Verdana"/>
          <w:color w:val="000000"/>
        </w:rPr>
        <w:t xml:space="preserve">con el propósito </w:t>
      </w:r>
      <w:r w:rsidR="00311123" w:rsidRPr="00311123">
        <w:rPr>
          <w:rFonts w:ascii="Verdana" w:hAnsi="Verdana"/>
          <w:color w:val="000000"/>
        </w:rPr>
        <w:t>de ofrecer sus recomendaciones </w:t>
      </w:r>
      <w:r w:rsidR="00B73F25">
        <w:rPr>
          <w:rFonts w:ascii="Verdana" w:hAnsi="Verdana"/>
          <w:color w:val="000000"/>
        </w:rPr>
        <w:t xml:space="preserve">sobre </w:t>
      </w:r>
      <w:r w:rsidR="00311123" w:rsidRPr="00311123">
        <w:rPr>
          <w:rFonts w:ascii="Verdana" w:hAnsi="Verdana"/>
          <w:color w:val="000000"/>
        </w:rPr>
        <w:t xml:space="preserve">la posibilidad de decretar la libertad provisional </w:t>
      </w:r>
      <w:r w:rsidR="00311123">
        <w:rPr>
          <w:rFonts w:ascii="Verdana" w:hAnsi="Verdana"/>
          <w:color w:val="000000"/>
        </w:rPr>
        <w:t>del</w:t>
      </w:r>
      <w:r w:rsidR="00311123" w:rsidRPr="00311123">
        <w:rPr>
          <w:rFonts w:ascii="Verdana" w:hAnsi="Verdana"/>
          <w:color w:val="000000"/>
        </w:rPr>
        <w:t xml:space="preserve"> imputado</w:t>
      </w:r>
      <w:r w:rsidR="00DB1412">
        <w:rPr>
          <w:rFonts w:ascii="Verdana" w:hAnsi="Verdana"/>
          <w:color w:val="000000"/>
        </w:rPr>
        <w:t>.</w:t>
      </w:r>
    </w:p>
    <w:p w14:paraId="05BE1466" w14:textId="77777777" w:rsidR="002E4B75" w:rsidRDefault="002E4B75" w:rsidP="00DB1412">
      <w:pPr>
        <w:spacing w:line="480" w:lineRule="auto"/>
        <w:ind w:firstLine="720"/>
        <w:jc w:val="both"/>
        <w:rPr>
          <w:rFonts w:ascii="Verdana" w:hAnsi="Verdana"/>
          <w:color w:val="000000"/>
        </w:rPr>
      </w:pPr>
      <w:r>
        <w:rPr>
          <w:rFonts w:ascii="Verdana" w:hAnsi="Verdana"/>
          <w:color w:val="000000"/>
        </w:rPr>
        <w:t>Luego de</w:t>
      </w:r>
      <w:r w:rsidR="00B21029">
        <w:rPr>
          <w:rFonts w:ascii="Verdana" w:hAnsi="Verdana"/>
          <w:color w:val="000000"/>
        </w:rPr>
        <w:t xml:space="preserve"> examinar</w:t>
      </w:r>
      <w:r>
        <w:rPr>
          <w:rFonts w:ascii="Verdana" w:hAnsi="Verdana"/>
          <w:color w:val="000000"/>
        </w:rPr>
        <w:t xml:space="preserve"> </w:t>
      </w:r>
      <w:r w:rsidR="00B21029">
        <w:rPr>
          <w:rFonts w:ascii="Verdana" w:hAnsi="Verdana"/>
          <w:color w:val="000000"/>
        </w:rPr>
        <w:t xml:space="preserve">los escritos </w:t>
      </w:r>
      <w:r>
        <w:rPr>
          <w:rFonts w:ascii="Verdana" w:hAnsi="Verdana"/>
          <w:color w:val="000000"/>
        </w:rPr>
        <w:t>ante nos</w:t>
      </w:r>
      <w:r w:rsidR="00B21029">
        <w:rPr>
          <w:rFonts w:ascii="Verdana" w:hAnsi="Verdana"/>
          <w:color w:val="000000"/>
        </w:rPr>
        <w:t xml:space="preserve">, así como la transcripción de la vista </w:t>
      </w:r>
      <w:r>
        <w:rPr>
          <w:rFonts w:ascii="Verdana" w:hAnsi="Verdana"/>
          <w:color w:val="000000"/>
        </w:rPr>
        <w:t>efectuada</w:t>
      </w:r>
      <w:r w:rsidR="00B21029">
        <w:rPr>
          <w:rFonts w:ascii="Verdana" w:hAnsi="Verdana"/>
          <w:color w:val="000000"/>
        </w:rPr>
        <w:t xml:space="preserve"> el 7 de mayo de 2021, </w:t>
      </w:r>
      <w:r>
        <w:rPr>
          <w:rFonts w:ascii="Verdana" w:hAnsi="Verdana"/>
          <w:color w:val="000000"/>
        </w:rPr>
        <w:t>determinamos</w:t>
      </w:r>
      <w:r w:rsidR="00B21029">
        <w:rPr>
          <w:rFonts w:ascii="Verdana" w:hAnsi="Verdana"/>
          <w:color w:val="000000"/>
        </w:rPr>
        <w:t xml:space="preserve"> que lo procedente es devolver el asunto al TPI para que se celebre una vista adversativa sobre revisión de fianza</w:t>
      </w:r>
      <w:r>
        <w:rPr>
          <w:rFonts w:ascii="Verdana" w:hAnsi="Verdana"/>
          <w:color w:val="000000"/>
        </w:rPr>
        <w:t xml:space="preserve">, de manera tal que se dilucide si, en efecto, el señor Medina representa un riesgo de fuga para la autoridad judicial. </w:t>
      </w:r>
    </w:p>
    <w:p w14:paraId="6998CA01" w14:textId="02B6AD5F" w:rsidR="004D0813" w:rsidRDefault="002E4B75" w:rsidP="00DB1412">
      <w:pPr>
        <w:spacing w:line="480" w:lineRule="auto"/>
        <w:ind w:firstLine="720"/>
        <w:jc w:val="both"/>
        <w:rPr>
          <w:rFonts w:ascii="Verdana" w:hAnsi="Verdana"/>
          <w:color w:val="000000"/>
        </w:rPr>
      </w:pPr>
      <w:r>
        <w:rPr>
          <w:rFonts w:ascii="Verdana" w:hAnsi="Verdana"/>
          <w:color w:val="000000"/>
        </w:rPr>
        <w:t>En el presente caso, surge de la referida transcripción que el Ministerio Público intentó establecer</w:t>
      </w:r>
      <w:r w:rsidR="00417920">
        <w:rPr>
          <w:rFonts w:ascii="Verdana" w:hAnsi="Verdana"/>
          <w:color w:val="000000"/>
        </w:rPr>
        <w:t xml:space="preserve"> que el pasaporte del señor Medina le fue devuelto</w:t>
      </w:r>
      <w:r w:rsidR="00417920">
        <w:rPr>
          <w:rStyle w:val="FootnoteReference"/>
          <w:rFonts w:ascii="Verdana" w:hAnsi="Verdana"/>
          <w:color w:val="000000"/>
        </w:rPr>
        <w:footnoteReference w:id="4"/>
      </w:r>
      <w:r w:rsidR="00417920">
        <w:rPr>
          <w:rFonts w:ascii="Verdana" w:hAnsi="Verdana"/>
          <w:color w:val="000000"/>
        </w:rPr>
        <w:t>, un hecho que, posteriormente, fue refutado por la representación legal del imputado.</w:t>
      </w:r>
      <w:r w:rsidR="00417920">
        <w:rPr>
          <w:rStyle w:val="FootnoteReference"/>
          <w:rFonts w:ascii="Verdana" w:hAnsi="Verdana"/>
          <w:color w:val="000000"/>
        </w:rPr>
        <w:footnoteReference w:id="5"/>
      </w:r>
      <w:r w:rsidR="00417920">
        <w:rPr>
          <w:rFonts w:ascii="Verdana" w:hAnsi="Verdana"/>
          <w:color w:val="000000"/>
        </w:rPr>
        <w:t xml:space="preserve"> Sobre este particular, la defensa del señor Medina argumentó que el pasaporte se encuentra bajo el poder del PSAJ desde el </w:t>
      </w:r>
      <w:r w:rsidR="00417920" w:rsidRPr="00B85C41">
        <w:rPr>
          <w:rFonts w:ascii="Verdana" w:hAnsi="Verdana"/>
          <w:b/>
          <w:bCs/>
          <w:color w:val="000000"/>
        </w:rPr>
        <w:t>21 de agosto de 2019</w:t>
      </w:r>
      <w:r w:rsidR="00417920">
        <w:rPr>
          <w:rFonts w:ascii="Verdana" w:hAnsi="Verdana"/>
          <w:color w:val="000000"/>
        </w:rPr>
        <w:t xml:space="preserve">; es decir, </w:t>
      </w:r>
      <w:r w:rsidR="00A7514B">
        <w:rPr>
          <w:rFonts w:ascii="Verdana" w:hAnsi="Verdana"/>
          <w:color w:val="000000"/>
        </w:rPr>
        <w:t xml:space="preserve">fecha en que se encontró </w:t>
      </w:r>
      <w:r w:rsidR="00A7514B">
        <w:rPr>
          <w:rFonts w:ascii="Verdana" w:hAnsi="Verdana"/>
          <w:i/>
          <w:iCs/>
          <w:color w:val="000000"/>
        </w:rPr>
        <w:t>causa para arresto</w:t>
      </w:r>
      <w:r w:rsidR="00A7514B">
        <w:rPr>
          <w:rFonts w:ascii="Verdana" w:hAnsi="Verdana"/>
          <w:color w:val="000000"/>
        </w:rPr>
        <w:t xml:space="preserve"> por los delitos de asesinato y violación a la Ley de Armas. Igualmente, el peticionario está vedado de acercarse a costas y aeropuertos </w:t>
      </w:r>
      <w:r w:rsidR="00B85C41">
        <w:rPr>
          <w:rFonts w:ascii="Verdana" w:hAnsi="Verdana"/>
          <w:color w:val="000000"/>
        </w:rPr>
        <w:t>desde ese día</w:t>
      </w:r>
      <w:r w:rsidR="000B2A5F">
        <w:rPr>
          <w:rFonts w:ascii="Verdana" w:hAnsi="Verdana"/>
          <w:color w:val="000000"/>
        </w:rPr>
        <w:t>; ello, con el obvio interés de que este no evada la jurisdicción.</w:t>
      </w:r>
      <w:r w:rsidR="00986F5E">
        <w:rPr>
          <w:rFonts w:ascii="Verdana" w:hAnsi="Verdana"/>
          <w:color w:val="000000"/>
        </w:rPr>
        <w:t xml:space="preserve"> </w:t>
      </w:r>
    </w:p>
    <w:p w14:paraId="71A44097" w14:textId="0A106126" w:rsidR="00B85C41" w:rsidRDefault="004D0813" w:rsidP="00DB1412">
      <w:pPr>
        <w:spacing w:line="480" w:lineRule="auto"/>
        <w:ind w:firstLine="720"/>
        <w:jc w:val="both"/>
        <w:rPr>
          <w:rFonts w:ascii="Verdana" w:hAnsi="Verdana"/>
          <w:color w:val="000000"/>
        </w:rPr>
      </w:pPr>
      <w:r>
        <w:rPr>
          <w:rFonts w:ascii="Verdana" w:hAnsi="Verdana"/>
          <w:color w:val="000000"/>
        </w:rPr>
        <w:t>Por otra parte</w:t>
      </w:r>
      <w:r w:rsidR="000B2A5F">
        <w:rPr>
          <w:rFonts w:ascii="Verdana" w:hAnsi="Verdana"/>
          <w:color w:val="000000"/>
        </w:rPr>
        <w:t xml:space="preserve">, </w:t>
      </w:r>
      <w:r w:rsidR="00986F5E">
        <w:rPr>
          <w:rFonts w:ascii="Verdana" w:hAnsi="Verdana"/>
          <w:color w:val="000000"/>
        </w:rPr>
        <w:t>debemos señalar</w:t>
      </w:r>
      <w:r w:rsidR="000B2A5F">
        <w:rPr>
          <w:rFonts w:ascii="Verdana" w:hAnsi="Verdana"/>
          <w:color w:val="000000"/>
        </w:rPr>
        <w:t xml:space="preserve"> que </w:t>
      </w:r>
      <w:r w:rsidR="00986F5E">
        <w:rPr>
          <w:rFonts w:ascii="Verdana" w:hAnsi="Verdana"/>
          <w:color w:val="000000"/>
        </w:rPr>
        <w:t>el TPI</w:t>
      </w:r>
      <w:r w:rsidR="000B2A5F">
        <w:rPr>
          <w:rFonts w:ascii="Verdana" w:hAnsi="Verdana"/>
          <w:color w:val="000000"/>
        </w:rPr>
        <w:t>, durante la vista</w:t>
      </w:r>
      <w:r w:rsidR="00986F5E">
        <w:rPr>
          <w:rFonts w:ascii="Verdana" w:hAnsi="Verdana"/>
          <w:color w:val="000000"/>
        </w:rPr>
        <w:t xml:space="preserve"> celebrada el 5 de mayo de 2021, tuvo ante su consideración el informe del PSAJ, al cual se hizo referencia en la vista del 7 de </w:t>
      </w:r>
      <w:r w:rsidR="00986F5E">
        <w:rPr>
          <w:rFonts w:ascii="Verdana" w:hAnsi="Verdana"/>
          <w:color w:val="000000"/>
        </w:rPr>
        <w:lastRenderedPageBreak/>
        <w:t>mayo de 2015.</w:t>
      </w:r>
      <w:r>
        <w:rPr>
          <w:rStyle w:val="FootnoteReference"/>
          <w:rFonts w:ascii="Verdana" w:hAnsi="Verdana"/>
          <w:color w:val="000000"/>
        </w:rPr>
        <w:footnoteReference w:id="6"/>
      </w:r>
      <w:r>
        <w:rPr>
          <w:rFonts w:ascii="Verdana" w:hAnsi="Verdana"/>
          <w:color w:val="000000"/>
        </w:rPr>
        <w:t xml:space="preserve"> Ahora bien</w:t>
      </w:r>
      <w:r w:rsidR="00986F5E">
        <w:rPr>
          <w:rFonts w:ascii="Verdana" w:hAnsi="Verdana"/>
          <w:color w:val="000000"/>
        </w:rPr>
        <w:t xml:space="preserve">, </w:t>
      </w:r>
      <w:r>
        <w:rPr>
          <w:rFonts w:ascii="Verdana" w:hAnsi="Verdana"/>
          <w:color w:val="000000"/>
        </w:rPr>
        <w:t>pese a ser el mismo informe, este dio paso a dos dictámenes significativamente distintos: una fianza de $3,500.00 y otra de $250,000.00.</w:t>
      </w:r>
      <w:r w:rsidR="00EC2EDA">
        <w:rPr>
          <w:rStyle w:val="FootnoteReference"/>
          <w:rFonts w:ascii="Verdana" w:hAnsi="Verdana"/>
          <w:color w:val="000000"/>
        </w:rPr>
        <w:footnoteReference w:id="7"/>
      </w:r>
      <w:r>
        <w:rPr>
          <w:rFonts w:ascii="Verdana" w:hAnsi="Verdana"/>
          <w:color w:val="000000"/>
        </w:rPr>
        <w:t xml:space="preserve"> Lo anterior, sin que se cumpliera proceso adversarial exigido por la Regla 218 de Procedimiento Criminal, </w:t>
      </w:r>
      <w:r>
        <w:rPr>
          <w:rFonts w:ascii="Verdana" w:hAnsi="Verdana"/>
          <w:i/>
          <w:iCs/>
          <w:color w:val="000000"/>
        </w:rPr>
        <w:t>supra</w:t>
      </w:r>
      <w:r>
        <w:rPr>
          <w:rFonts w:ascii="Verdana" w:hAnsi="Verdana"/>
          <w:color w:val="000000"/>
        </w:rPr>
        <w:t xml:space="preserve">.    </w:t>
      </w:r>
      <w:r w:rsidR="00986F5E">
        <w:rPr>
          <w:rFonts w:ascii="Verdana" w:hAnsi="Verdana"/>
          <w:color w:val="000000"/>
        </w:rPr>
        <w:t xml:space="preserve">   </w:t>
      </w:r>
    </w:p>
    <w:p w14:paraId="526CB014" w14:textId="77777777" w:rsidR="00F66973" w:rsidRDefault="00B85C41" w:rsidP="004D0813">
      <w:pPr>
        <w:spacing w:line="480" w:lineRule="auto"/>
        <w:ind w:firstLine="720"/>
        <w:jc w:val="both"/>
        <w:rPr>
          <w:rFonts w:ascii="Verdana" w:hAnsi="Verdana" w:cs="Tahoma"/>
        </w:rPr>
      </w:pPr>
      <w:r w:rsidRPr="000B2A5F">
        <w:rPr>
          <w:rFonts w:ascii="Verdana" w:hAnsi="Verdana"/>
          <w:color w:val="000000"/>
        </w:rPr>
        <w:t xml:space="preserve">Por lo anterior, entendemos que las alegaciones sobre un supuesto riesgo de fuga no bastaron para justificar el aumento de fianza promovido por el Ministerio Público. Después de todo, nuestro Máximo Foro ha establecido </w:t>
      </w:r>
      <w:r w:rsidRPr="000B2A5F">
        <w:rPr>
          <w:rFonts w:ascii="Verdana" w:hAnsi="Verdana" w:cs="Tahoma"/>
        </w:rPr>
        <w:t xml:space="preserve">que </w:t>
      </w:r>
      <w:r w:rsidR="000B2A5F" w:rsidRPr="000B2A5F">
        <w:rPr>
          <w:rFonts w:ascii="Verdana" w:hAnsi="Verdana" w:cs="Tahoma"/>
        </w:rPr>
        <w:t>meras alegaciones</w:t>
      </w:r>
      <w:r w:rsidRPr="000B2A5F">
        <w:rPr>
          <w:rFonts w:ascii="Verdana" w:hAnsi="Verdana" w:cs="Tahoma"/>
        </w:rPr>
        <w:t xml:space="preserve"> o teorías no constituyen prueba</w:t>
      </w:r>
      <w:r w:rsidR="000B2A5F" w:rsidRPr="000B2A5F">
        <w:rPr>
          <w:rFonts w:ascii="Verdana" w:hAnsi="Verdana" w:cs="Tahoma"/>
        </w:rPr>
        <w:t xml:space="preserve">. </w:t>
      </w:r>
      <w:r w:rsidR="000B2A5F" w:rsidRPr="000B2A5F">
        <w:rPr>
          <w:rFonts w:ascii="Verdana" w:hAnsi="Verdana" w:cs="Tahoma"/>
          <w:u w:val="single"/>
        </w:rPr>
        <w:t>Asoc. Auténtica Empl. V. Municipio de Bayamón</w:t>
      </w:r>
      <w:r w:rsidR="000B2A5F" w:rsidRPr="000B2A5F">
        <w:rPr>
          <w:rFonts w:ascii="Verdana" w:hAnsi="Verdana" w:cs="Tahoma"/>
        </w:rPr>
        <w:t>, 111 DPR 527, 531 (1981).</w:t>
      </w:r>
      <w:r w:rsidR="00F66973">
        <w:rPr>
          <w:rFonts w:ascii="Verdana" w:hAnsi="Verdana" w:cs="Tahoma"/>
        </w:rPr>
        <w:t xml:space="preserve"> </w:t>
      </w:r>
    </w:p>
    <w:p w14:paraId="483C68B4" w14:textId="2D409B2A" w:rsidR="00DB76C9" w:rsidRPr="004D0813" w:rsidRDefault="00F66973" w:rsidP="004D0813">
      <w:pPr>
        <w:spacing w:line="480" w:lineRule="auto"/>
        <w:ind w:firstLine="720"/>
        <w:jc w:val="both"/>
        <w:rPr>
          <w:rFonts w:ascii="Verdana" w:hAnsi="Verdana" w:cs="Tahoma"/>
        </w:rPr>
      </w:pPr>
      <w:r>
        <w:rPr>
          <w:rFonts w:ascii="Verdana" w:hAnsi="Verdana" w:cs="Tahoma"/>
        </w:rPr>
        <w:t>Así</w:t>
      </w:r>
      <w:r w:rsidR="00215DF9">
        <w:rPr>
          <w:rFonts w:ascii="Verdana" w:hAnsi="Verdana" w:cs="Tahoma"/>
        </w:rPr>
        <w:t xml:space="preserve">, </w:t>
      </w:r>
      <w:r>
        <w:rPr>
          <w:rFonts w:ascii="Verdana" w:hAnsi="Verdana" w:cs="Tahoma"/>
        </w:rPr>
        <w:t xml:space="preserve">pues, es necesario que </w:t>
      </w:r>
      <w:r w:rsidRPr="00F66973">
        <w:rPr>
          <w:rFonts w:ascii="Verdana" w:hAnsi="Verdana" w:cs="Tahoma"/>
        </w:rPr>
        <w:t>el Ministerio Público, como pro</w:t>
      </w:r>
      <w:r w:rsidR="00215DF9">
        <w:rPr>
          <w:rFonts w:ascii="Verdana" w:hAnsi="Verdana" w:cs="Tahoma"/>
        </w:rPr>
        <w:t>mo</w:t>
      </w:r>
      <w:r w:rsidRPr="00F66973">
        <w:rPr>
          <w:rFonts w:ascii="Verdana" w:hAnsi="Verdana" w:cs="Tahoma"/>
        </w:rPr>
        <w:t>vente del aumento de fianza, presente prueba que permita evaluar razonablemente su solicitud</w:t>
      </w:r>
      <w:r w:rsidR="00215DF9">
        <w:rPr>
          <w:rFonts w:ascii="Verdana" w:hAnsi="Verdana" w:cs="Tahoma"/>
        </w:rPr>
        <w:t xml:space="preserve">. En este caso, se desprende del expediente que, durante la vista sobre revisión de fianza, el TPI </w:t>
      </w:r>
      <w:r w:rsidR="00215DF9" w:rsidRPr="00215DF9">
        <w:rPr>
          <w:rFonts w:ascii="Verdana" w:hAnsi="Verdana" w:cs="Tahoma"/>
          <w:b/>
          <w:bCs/>
        </w:rPr>
        <w:t xml:space="preserve">no </w:t>
      </w:r>
      <w:r w:rsidR="00215DF9">
        <w:rPr>
          <w:rFonts w:ascii="Verdana" w:hAnsi="Verdana" w:cs="Tahoma"/>
        </w:rPr>
        <w:t>recibió prueba adicional, más allá del mismo informe del PSAJ que sirvió de base para imponer la fianza original. Después de todo</w:t>
      </w:r>
      <w:r w:rsidRPr="00F66973">
        <w:rPr>
          <w:rFonts w:ascii="Verdana" w:hAnsi="Verdana" w:cs="Tahoma"/>
        </w:rPr>
        <w:t>, el peso de la prueba recae sobre la parte que resultaría vencida, de no presentarse evidencia por alguna de las partes. Regla de Evidencia 110, 32 LPRA Ap. VI, R. 110.</w:t>
      </w:r>
      <w:r>
        <w:rPr>
          <w:rFonts w:ascii="Tahoma" w:hAnsi="Tahoma" w:cs="Tahoma"/>
        </w:rPr>
        <w:t xml:space="preserve"> </w:t>
      </w:r>
      <w:r>
        <w:t> </w:t>
      </w:r>
    </w:p>
    <w:p w14:paraId="31248523" w14:textId="77777777" w:rsidR="009330CA" w:rsidRDefault="009330CA" w:rsidP="009330CA">
      <w:pPr>
        <w:spacing w:line="480" w:lineRule="auto"/>
        <w:jc w:val="center"/>
        <w:rPr>
          <w:rFonts w:ascii="Verdana" w:hAnsi="Verdana"/>
          <w:b/>
          <w:bCs/>
          <w:lang w:val="es-419"/>
        </w:rPr>
      </w:pPr>
      <w:r>
        <w:rPr>
          <w:rFonts w:ascii="Verdana" w:hAnsi="Verdana"/>
          <w:b/>
          <w:bCs/>
          <w:lang w:val="es-419"/>
        </w:rPr>
        <w:t>-IV-</w:t>
      </w:r>
    </w:p>
    <w:p w14:paraId="42DA3923" w14:textId="6E10D211" w:rsidR="00EC2EDA" w:rsidRDefault="009330CA" w:rsidP="00957D04">
      <w:pPr>
        <w:spacing w:line="480" w:lineRule="auto"/>
        <w:ind w:firstLine="720"/>
        <w:jc w:val="both"/>
        <w:rPr>
          <w:rFonts w:ascii="Verdana" w:hAnsi="Verdana"/>
          <w:lang w:val="es-419"/>
        </w:rPr>
      </w:pPr>
      <w:r>
        <w:rPr>
          <w:rFonts w:ascii="Verdana" w:hAnsi="Verdana"/>
          <w:lang w:val="es-419"/>
        </w:rPr>
        <w:t>Por los fundamentos ant</w:t>
      </w:r>
      <w:r w:rsidR="00934525">
        <w:rPr>
          <w:rFonts w:ascii="Verdana" w:hAnsi="Verdana"/>
          <w:lang w:val="es-419"/>
        </w:rPr>
        <w:t>es</w:t>
      </w:r>
      <w:r>
        <w:rPr>
          <w:rFonts w:ascii="Verdana" w:hAnsi="Verdana"/>
          <w:lang w:val="es-419"/>
        </w:rPr>
        <w:t xml:space="preserve"> expuestos, se expide el auto de </w:t>
      </w:r>
      <w:r>
        <w:rPr>
          <w:rFonts w:ascii="Verdana" w:hAnsi="Verdana"/>
          <w:i/>
          <w:iCs/>
          <w:lang w:val="es-419"/>
        </w:rPr>
        <w:t xml:space="preserve">certiorari </w:t>
      </w:r>
      <w:r>
        <w:rPr>
          <w:rFonts w:ascii="Verdana" w:hAnsi="Verdana"/>
          <w:lang w:val="es-419"/>
        </w:rPr>
        <w:t xml:space="preserve">y se </w:t>
      </w:r>
      <w:r w:rsidRPr="009330CA">
        <w:rPr>
          <w:rFonts w:ascii="Verdana" w:hAnsi="Verdana"/>
          <w:b/>
          <w:bCs/>
          <w:lang w:val="es-419"/>
        </w:rPr>
        <w:t>revoca</w:t>
      </w:r>
      <w:r>
        <w:rPr>
          <w:rFonts w:ascii="Verdana" w:hAnsi="Verdana"/>
          <w:lang w:val="es-419"/>
        </w:rPr>
        <w:t xml:space="preserve"> </w:t>
      </w:r>
      <w:r w:rsidR="00717872">
        <w:rPr>
          <w:rFonts w:ascii="Verdana" w:hAnsi="Verdana"/>
          <w:lang w:val="es-419"/>
        </w:rPr>
        <w:t xml:space="preserve">la </w:t>
      </w:r>
      <w:r w:rsidR="00717872">
        <w:rPr>
          <w:rFonts w:ascii="Verdana" w:hAnsi="Verdana"/>
          <w:i/>
          <w:iCs/>
          <w:lang w:val="es-419"/>
        </w:rPr>
        <w:t>Resolución</w:t>
      </w:r>
      <w:r>
        <w:rPr>
          <w:rFonts w:ascii="Verdana" w:hAnsi="Verdana"/>
          <w:lang w:val="es-419"/>
        </w:rPr>
        <w:t xml:space="preserve"> recurrid</w:t>
      </w:r>
      <w:r w:rsidR="00717872">
        <w:rPr>
          <w:rFonts w:ascii="Verdana" w:hAnsi="Verdana"/>
          <w:lang w:val="es-419"/>
        </w:rPr>
        <w:t>a</w:t>
      </w:r>
      <w:r>
        <w:rPr>
          <w:rFonts w:ascii="Verdana" w:hAnsi="Verdana"/>
          <w:lang w:val="es-419"/>
        </w:rPr>
        <w:t>.</w:t>
      </w:r>
      <w:r w:rsidR="00934525">
        <w:rPr>
          <w:rFonts w:ascii="Verdana" w:hAnsi="Verdana"/>
          <w:lang w:val="es-419"/>
        </w:rPr>
        <w:t xml:space="preserve"> </w:t>
      </w:r>
      <w:r w:rsidR="00215DF9">
        <w:rPr>
          <w:rFonts w:ascii="Verdana" w:hAnsi="Verdana"/>
          <w:lang w:val="es-419"/>
        </w:rPr>
        <w:t>En consecuencia</w:t>
      </w:r>
      <w:r w:rsidR="00934525">
        <w:rPr>
          <w:rFonts w:ascii="Verdana" w:hAnsi="Verdana"/>
          <w:lang w:val="es-419"/>
        </w:rPr>
        <w:t>,</w:t>
      </w:r>
      <w:r w:rsidR="00B85C41">
        <w:rPr>
          <w:rFonts w:ascii="Verdana" w:hAnsi="Verdana"/>
          <w:lang w:val="es-419"/>
        </w:rPr>
        <w:t xml:space="preserve"> se devuelve el caso al TPI para que se celebre una vista adversativa sobre revisión de fianza, de conformidad con lo aquí resuelto</w:t>
      </w:r>
      <w:r w:rsidR="00EC2EDA">
        <w:rPr>
          <w:rFonts w:ascii="Verdana" w:hAnsi="Verdana"/>
          <w:lang w:val="es-419"/>
        </w:rPr>
        <w:t xml:space="preserve"> dentro de un término de 24 horas. Mientras tanto, </w:t>
      </w:r>
      <w:r w:rsidR="00F66973">
        <w:rPr>
          <w:rFonts w:ascii="Verdana" w:hAnsi="Verdana"/>
          <w:lang w:val="es-419"/>
        </w:rPr>
        <w:t xml:space="preserve">se ordena </w:t>
      </w:r>
      <w:r w:rsidR="00EC2EDA">
        <w:rPr>
          <w:rFonts w:ascii="Verdana" w:hAnsi="Verdana"/>
          <w:lang w:val="es-419"/>
        </w:rPr>
        <w:t>la reinstalación de la fianza original de $3,500.00</w:t>
      </w:r>
      <w:r w:rsidR="00F66973">
        <w:rPr>
          <w:rFonts w:ascii="Verdana" w:hAnsi="Verdana"/>
          <w:lang w:val="es-419"/>
        </w:rPr>
        <w:t xml:space="preserve">. </w:t>
      </w:r>
      <w:r w:rsidR="00F66973">
        <w:rPr>
          <w:rFonts w:ascii="Verdana" w:hAnsi="Verdana"/>
          <w:lang w:val="es-419"/>
        </w:rPr>
        <w:lastRenderedPageBreak/>
        <w:t>Asimismo,</w:t>
      </w:r>
      <w:r w:rsidR="00B85C41">
        <w:rPr>
          <w:rFonts w:ascii="Verdana" w:hAnsi="Verdana"/>
          <w:lang w:val="es-419"/>
        </w:rPr>
        <w:t xml:space="preserve"> declara</w:t>
      </w:r>
      <w:r w:rsidR="00F66973">
        <w:rPr>
          <w:rFonts w:ascii="Verdana" w:hAnsi="Verdana"/>
          <w:lang w:val="es-419"/>
        </w:rPr>
        <w:t>mos</w:t>
      </w:r>
      <w:r w:rsidR="00B85C41">
        <w:rPr>
          <w:rFonts w:ascii="Verdana" w:hAnsi="Verdana"/>
          <w:lang w:val="es-419"/>
        </w:rPr>
        <w:t xml:space="preserve"> </w:t>
      </w:r>
      <w:r w:rsidR="00B85C41" w:rsidRPr="00B85C41">
        <w:rPr>
          <w:rFonts w:ascii="Verdana" w:hAnsi="Verdana"/>
          <w:b/>
          <w:bCs/>
          <w:lang w:val="es-419"/>
        </w:rPr>
        <w:t>No Ha Lugar</w:t>
      </w:r>
      <w:r w:rsidR="00DB76C9">
        <w:rPr>
          <w:rFonts w:ascii="Verdana" w:hAnsi="Verdana"/>
          <w:lang w:val="es-419"/>
        </w:rPr>
        <w:t xml:space="preserve"> </w:t>
      </w:r>
      <w:r w:rsidR="00B85C41">
        <w:rPr>
          <w:rFonts w:ascii="Verdana" w:hAnsi="Verdana"/>
          <w:lang w:val="es-419"/>
        </w:rPr>
        <w:t xml:space="preserve">la </w:t>
      </w:r>
      <w:r w:rsidR="00B85C41">
        <w:rPr>
          <w:rFonts w:ascii="Verdana" w:hAnsi="Verdana"/>
          <w:i/>
          <w:iCs/>
          <w:lang w:val="es-419"/>
        </w:rPr>
        <w:t>Moción Urgente en Auxilio de Jurisdicción</w:t>
      </w:r>
      <w:r w:rsidR="00B85C41">
        <w:rPr>
          <w:rFonts w:ascii="Verdana" w:hAnsi="Verdana"/>
          <w:lang w:val="es-419"/>
        </w:rPr>
        <w:t xml:space="preserve"> presentada por el señor Jensen Medina Cardona.</w:t>
      </w:r>
    </w:p>
    <w:p w14:paraId="3C8CD796" w14:textId="77777777" w:rsidR="00FE3498" w:rsidRDefault="00EC2EDA" w:rsidP="00FE3498">
      <w:pPr>
        <w:spacing w:line="480" w:lineRule="auto"/>
        <w:ind w:firstLine="720"/>
        <w:jc w:val="both"/>
        <w:rPr>
          <w:rFonts w:ascii="Verdana" w:hAnsi="Verdana"/>
          <w:b/>
          <w:bCs/>
          <w:color w:val="000000"/>
        </w:rPr>
      </w:pPr>
      <w:r>
        <w:rPr>
          <w:rFonts w:ascii="Verdana" w:hAnsi="Verdana" w:cs="Arial"/>
          <w:lang w:val="es-MX"/>
        </w:rPr>
        <w:t>Al amparo de la Regla 211 de Procedimiento Criminal, 34 LPRA, Ap. II, R.211</w:t>
      </w:r>
      <w:r>
        <w:rPr>
          <w:rStyle w:val="FootnoteReference"/>
          <w:rFonts w:ascii="Verdana" w:hAnsi="Verdana" w:cs="Arial"/>
          <w:lang w:val="es-MX"/>
        </w:rPr>
        <w:footnoteReference w:id="8"/>
      </w:r>
      <w:r>
        <w:rPr>
          <w:rFonts w:ascii="Verdana" w:hAnsi="Verdana" w:cs="Arial"/>
          <w:lang w:val="es-MX"/>
        </w:rPr>
        <w:t xml:space="preserve">, el Tribunal de Primera Instancia puede </w:t>
      </w:r>
      <w:r w:rsidRPr="00BD0659">
        <w:rPr>
          <w:rFonts w:ascii="Verdana" w:hAnsi="Verdana" w:cs="Arial"/>
        </w:rPr>
        <w:t>proceder de conformidad con lo aquí resuelto, sin la necesidad de esperar por nuestro mandato.</w:t>
      </w:r>
      <w:r w:rsidR="00FE3498" w:rsidRPr="00FE3498">
        <w:rPr>
          <w:rFonts w:ascii="Verdana" w:hAnsi="Verdana"/>
          <w:b/>
          <w:bCs/>
          <w:color w:val="000000"/>
        </w:rPr>
        <w:t xml:space="preserve"> </w:t>
      </w:r>
    </w:p>
    <w:p w14:paraId="47756B61" w14:textId="77777777" w:rsidR="00FE3498" w:rsidRDefault="00B43BE0" w:rsidP="00FE3498">
      <w:pPr>
        <w:spacing w:line="480" w:lineRule="auto"/>
        <w:ind w:firstLine="720"/>
        <w:jc w:val="both"/>
        <w:rPr>
          <w:rFonts w:ascii="Verdana" w:hAnsi="Verdana"/>
        </w:rPr>
      </w:pPr>
      <w:r w:rsidRPr="009330CA">
        <w:rPr>
          <w:rFonts w:ascii="Verdana" w:hAnsi="Verdana"/>
        </w:rPr>
        <w:t>Lo acordó y manda el Tribunal</w:t>
      </w:r>
      <w:r w:rsidR="00B73DA5" w:rsidRPr="009330CA">
        <w:rPr>
          <w:rFonts w:ascii="Verdana" w:hAnsi="Verdana"/>
        </w:rPr>
        <w:t>,</w:t>
      </w:r>
      <w:r w:rsidRPr="009330CA">
        <w:rPr>
          <w:rFonts w:ascii="Verdana" w:hAnsi="Verdana"/>
        </w:rPr>
        <w:t xml:space="preserve"> y lo certifica la </w:t>
      </w:r>
      <w:proofErr w:type="gramStart"/>
      <w:r w:rsidRPr="009330CA">
        <w:rPr>
          <w:rFonts w:ascii="Verdana" w:hAnsi="Verdana"/>
        </w:rPr>
        <w:t>Secretaria</w:t>
      </w:r>
      <w:proofErr w:type="gramEnd"/>
      <w:r w:rsidRPr="009330CA">
        <w:rPr>
          <w:rFonts w:ascii="Verdana" w:hAnsi="Verdana"/>
        </w:rPr>
        <w:t xml:space="preserve"> del Tribunal de Apelaciones.</w:t>
      </w:r>
    </w:p>
    <w:p w14:paraId="043D698D" w14:textId="0B4A9651" w:rsidR="00FE3498" w:rsidRPr="00F66973" w:rsidRDefault="00FE3498" w:rsidP="00FE3498">
      <w:pPr>
        <w:spacing w:line="480" w:lineRule="auto"/>
        <w:ind w:firstLine="720"/>
        <w:jc w:val="both"/>
        <w:rPr>
          <w:rFonts w:ascii="Verdana" w:hAnsi="Verdana"/>
          <w:color w:val="000000"/>
        </w:rPr>
      </w:pPr>
      <w:r w:rsidRPr="00FE3498">
        <w:rPr>
          <w:rFonts w:ascii="Verdana" w:hAnsi="Verdana"/>
          <w:b/>
          <w:bCs/>
          <w:color w:val="000000"/>
        </w:rPr>
        <w:t xml:space="preserve"> </w:t>
      </w:r>
      <w:r>
        <w:rPr>
          <w:rFonts w:ascii="Verdana" w:hAnsi="Verdana"/>
          <w:b/>
          <w:bCs/>
          <w:color w:val="000000"/>
        </w:rPr>
        <w:t>Notifíquese inmediatamente</w:t>
      </w:r>
      <w:r>
        <w:rPr>
          <w:rFonts w:ascii="Verdana" w:hAnsi="Verdana"/>
          <w:color w:val="000000"/>
        </w:rPr>
        <w:t xml:space="preserve">. </w:t>
      </w:r>
    </w:p>
    <w:p w14:paraId="09CD81A7" w14:textId="77777777" w:rsidR="00FE3498" w:rsidRDefault="00FE3498" w:rsidP="00FE3498">
      <w:pPr>
        <w:spacing w:line="480" w:lineRule="auto"/>
        <w:ind w:firstLine="720"/>
        <w:jc w:val="both"/>
        <w:rPr>
          <w:rFonts w:ascii="Verdana" w:hAnsi="Verdana"/>
          <w:color w:val="000000"/>
        </w:rPr>
      </w:pPr>
      <w:r>
        <w:rPr>
          <w:rFonts w:ascii="Verdana" w:hAnsi="Verdana"/>
          <w:color w:val="000000"/>
          <w:lang w:val="es-419"/>
        </w:rPr>
        <w:t xml:space="preserve">El </w:t>
      </w:r>
      <w:r>
        <w:rPr>
          <w:rFonts w:ascii="Verdana" w:hAnsi="Verdana"/>
          <w:color w:val="000000"/>
        </w:rPr>
        <w:t>Juez Bonilla Ortiz disiente de la sentencia que precede por entender que el acusado tuvo ya una vista evidenciaria cuando se celebró la primera vista de fianza.  Ni en esa vista ni en la posterior vista el peticionario presentó u ofreció prueba para impugnar el informe de la PSAJ que apoya la determinación de riesgo de fuga.</w:t>
      </w:r>
    </w:p>
    <w:p w14:paraId="70905A5A" w14:textId="77777777" w:rsidR="00D6028B" w:rsidRPr="009330CA" w:rsidRDefault="00D6028B" w:rsidP="002916CA">
      <w:pPr>
        <w:spacing w:line="480" w:lineRule="auto"/>
        <w:ind w:firstLine="720"/>
        <w:contextualSpacing/>
        <w:jc w:val="both"/>
        <w:rPr>
          <w:rFonts w:ascii="Verdana" w:hAnsi="Verdana"/>
        </w:rPr>
      </w:pPr>
    </w:p>
    <w:p w14:paraId="0CDC9043" w14:textId="77777777" w:rsidR="00B04D33" w:rsidRPr="002916CA" w:rsidRDefault="00B04D33" w:rsidP="005C67CA">
      <w:pPr>
        <w:contextualSpacing/>
        <w:jc w:val="both"/>
        <w:rPr>
          <w:rFonts w:ascii="Verdana" w:hAnsi="Verdana" w:cs="Arial"/>
        </w:rPr>
      </w:pPr>
    </w:p>
    <w:p w14:paraId="04970F8B" w14:textId="77777777" w:rsidR="00B04D33" w:rsidRPr="002916CA" w:rsidRDefault="00B04D33" w:rsidP="005C67CA">
      <w:pPr>
        <w:contextualSpacing/>
        <w:jc w:val="both"/>
        <w:rPr>
          <w:rFonts w:ascii="Verdana" w:hAnsi="Verdana" w:cs="Arial"/>
        </w:rPr>
      </w:pPr>
    </w:p>
    <w:p w14:paraId="323BF9A0" w14:textId="77777777" w:rsidR="004C6DCF" w:rsidRPr="00FB2C56" w:rsidRDefault="00A33A50" w:rsidP="00357989">
      <w:pPr>
        <w:contextualSpacing/>
        <w:jc w:val="center"/>
        <w:rPr>
          <w:rFonts w:ascii="Verdana" w:hAnsi="Verdana" w:cs="Arial"/>
          <w:sz w:val="25"/>
          <w:szCs w:val="25"/>
        </w:rPr>
      </w:pPr>
      <w:r w:rsidRPr="00FB2C56">
        <w:rPr>
          <w:rFonts w:ascii="Verdana" w:hAnsi="Verdana" w:cs="Arial"/>
          <w:sz w:val="25"/>
          <w:szCs w:val="25"/>
        </w:rPr>
        <w:t>Lcda. Lilia M. Oquendo Solís</w:t>
      </w:r>
    </w:p>
    <w:p w14:paraId="41E43675" w14:textId="77777777" w:rsidR="007561D9" w:rsidRPr="00FB2C56" w:rsidRDefault="004C6DCF" w:rsidP="002916CA">
      <w:pPr>
        <w:contextualSpacing/>
        <w:jc w:val="center"/>
        <w:rPr>
          <w:rFonts w:ascii="Verdana" w:hAnsi="Verdana" w:cs="Arial"/>
          <w:sz w:val="25"/>
          <w:szCs w:val="25"/>
        </w:rPr>
      </w:pPr>
      <w:r w:rsidRPr="00FB2C56">
        <w:rPr>
          <w:rFonts w:ascii="Verdana" w:hAnsi="Verdana" w:cs="Arial"/>
          <w:sz w:val="25"/>
          <w:szCs w:val="25"/>
        </w:rPr>
        <w:t>Secreta</w:t>
      </w:r>
      <w:r w:rsidR="006B138A" w:rsidRPr="00FB2C56">
        <w:rPr>
          <w:rFonts w:ascii="Verdana" w:hAnsi="Verdana" w:cs="Arial"/>
          <w:sz w:val="25"/>
          <w:szCs w:val="25"/>
        </w:rPr>
        <w:t>ria del Tribunal de Apelaciones</w:t>
      </w:r>
    </w:p>
    <w:sectPr w:rsidR="007561D9" w:rsidRPr="00FB2C56" w:rsidSect="004E523F">
      <w:headerReference w:type="even" r:id="rId8"/>
      <w:headerReference w:type="default" r:id="rId9"/>
      <w:footerReference w:type="even" r:id="rId10"/>
      <w:footerReference w:type="default" r:id="rId11"/>
      <w:footerReference w:type="first" r:id="rId12"/>
      <w:pgSz w:w="12240" w:h="20160" w:code="5"/>
      <w:pgMar w:top="1440" w:right="2160" w:bottom="1440" w:left="2160" w:header="0" w:footer="88" w:gutter="0"/>
      <w:paperSrc w:first="15"/>
      <w:pgBorders>
        <w:top w:val="single" w:sz="4" w:space="8" w:color="auto"/>
        <w:left w:val="single" w:sz="4" w:space="6" w:color="auto"/>
        <w:bottom w:val="single" w:sz="4" w:space="6" w:color="auto"/>
        <w:right w:val="single" w:sz="4" w:space="6" w:color="auto"/>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09527" w14:textId="77777777" w:rsidR="00385524" w:rsidRDefault="00385524">
      <w:r>
        <w:separator/>
      </w:r>
    </w:p>
  </w:endnote>
  <w:endnote w:type="continuationSeparator" w:id="0">
    <w:p w14:paraId="73D80FF2" w14:textId="77777777" w:rsidR="00385524" w:rsidRDefault="0038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D46A" w14:textId="77777777" w:rsidR="00754B77" w:rsidRDefault="00754B77">
    <w:pPr>
      <w:pStyle w:val="Footer"/>
    </w:pPr>
    <w:r>
      <w:rPr>
        <w:rFonts w:ascii="Bookman Old Style" w:hAnsi="Bookman Old Style" w:cs="Arial"/>
        <w:noProof/>
        <w:lang w:val="en-US"/>
      </w:rPr>
      <mc:AlternateContent>
        <mc:Choice Requires="wps">
          <w:drawing>
            <wp:anchor distT="0" distB="0" distL="114300" distR="114300" simplePos="0" relativeHeight="251675648" behindDoc="0" locked="1" layoutInCell="0" allowOverlap="1" wp14:anchorId="670881E7" wp14:editId="4C6C5E92">
              <wp:simplePos x="0" y="0"/>
              <wp:positionH relativeFrom="insideMargin">
                <wp:posOffset>-5734050</wp:posOffset>
              </wp:positionH>
              <wp:positionV relativeFrom="paragraph">
                <wp:posOffset>-12585700</wp:posOffset>
              </wp:positionV>
              <wp:extent cx="0" cy="12810490"/>
              <wp:effectExtent l="0" t="0" r="19050" b="10160"/>
              <wp:wrapNone/>
              <wp:docPr id="9" name="Straight Connector 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2810490"/>
                      </a:xfrm>
                      <a:prstGeom prst="line">
                        <a:avLst/>
                      </a:prstGeom>
                      <a:ln w="3810">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DBE0242"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text;mso-width-percent:0;mso-height-percent:0;mso-width-relative:margin;mso-height-relative:margin" from="-451.5pt,-991pt" to="-45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" o:allowincell="f" strokecolor="black [3213]" strokeweight=".3pt">
              <o:lock v:ext="edit" aspectratio="t" shapetype="f"/>
              <w10:wrap anchorx="margin"/>
              <w10:anchorlock/>
            </v:line>
          </w:pict>
        </mc:Fallback>
      </mc:AlternateContent>
    </w:r>
    <w:r>
      <w:rPr>
        <w:rFonts w:ascii="Bookman Old Style" w:hAnsi="Bookman Old Style" w:cs="Arial"/>
        <w:noProof/>
        <w:lang w:val="en-US"/>
      </w:rPr>
      <mc:AlternateContent>
        <mc:Choice Requires="wps">
          <w:drawing>
            <wp:anchor distT="0" distB="0" distL="114300" distR="114300" simplePos="0" relativeHeight="251673600" behindDoc="0" locked="1" layoutInCell="0" allowOverlap="1" wp14:anchorId="7474F734" wp14:editId="463C82DF">
              <wp:simplePos x="0" y="0"/>
              <wp:positionH relativeFrom="insideMargin">
                <wp:posOffset>-5680075</wp:posOffset>
              </wp:positionH>
              <wp:positionV relativeFrom="paragraph">
                <wp:posOffset>-12590145</wp:posOffset>
              </wp:positionV>
              <wp:extent cx="0" cy="12813030"/>
              <wp:effectExtent l="0" t="0" r="19050" b="26670"/>
              <wp:wrapNone/>
              <wp:docPr id="8" name="Straight Connector 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2813030"/>
                      </a:xfrm>
                      <a:prstGeom prst="line">
                        <a:avLst/>
                      </a:prstGeom>
                      <a:ln w="3810">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1841C63"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text;mso-width-percent:0;mso-height-percent:0;mso-width-relative:margin;mso-height-relative:margin" from="-447.25pt,-991.35pt" to="-447.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" o:allowincell="f" strokecolor="black [3213]" strokeweight=".3pt">
              <o:lock v:ext="edit" aspectratio="t" shapetype="f"/>
              <w10:wrap anchorx="margin"/>
              <w10:anchorlock/>
            </v:line>
          </w:pict>
        </mc:Fallback>
      </mc:AlternateContent>
    </w:r>
    <w:r>
      <w:rPr>
        <w:rFonts w:ascii="Bookman Old Style" w:hAnsi="Bookman Old Style" w:cs="Arial"/>
        <w:noProof/>
        <w:lang w:val="en-US"/>
      </w:rPr>
      <mc:AlternateContent>
        <mc:Choice Requires="wps">
          <w:drawing>
            <wp:anchor distT="0" distB="0" distL="114300" distR="114300" simplePos="0" relativeHeight="251669504" behindDoc="0" locked="1" layoutInCell="0" allowOverlap="1" wp14:anchorId="1A757DF4" wp14:editId="286DC46C">
              <wp:simplePos x="0" y="0"/>
              <wp:positionH relativeFrom="insideMargin">
                <wp:posOffset>-6467475</wp:posOffset>
              </wp:positionH>
              <wp:positionV relativeFrom="paragraph">
                <wp:posOffset>-11586210</wp:posOffset>
              </wp:positionV>
              <wp:extent cx="0" cy="12783312"/>
              <wp:effectExtent l="0" t="0" r="19050" b="18415"/>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2783312"/>
                      </a:xfrm>
                      <a:prstGeom prst="line">
                        <a:avLst/>
                      </a:prstGeom>
                      <a:ln w="3810">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46D673B"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text;mso-width-percent:0;mso-height-percent:0;mso-width-relative:margin;mso-height-relative:margin" from="-509.25pt,-912.3pt" to="-509.2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" o:allowincell="f" strokecolor="black [3213]" strokeweight=".3pt">
              <o:lock v:ext="edit" aspectratio="t" shapetype="f"/>
              <w10:wrap anchorx="margin"/>
              <w10:anchorlock/>
            </v:line>
          </w:pict>
        </mc:Fallback>
      </mc:AlternateContent>
    </w:r>
    <w:r>
      <w:rPr>
        <w:rFonts w:ascii="Bookman Old Style" w:hAnsi="Bookman Old Style" w:cs="Arial"/>
        <w:noProof/>
        <w:lang w:val="en-US"/>
      </w:rPr>
      <mc:AlternateContent>
        <mc:Choice Requires="wps">
          <w:drawing>
            <wp:anchor distT="0" distB="0" distL="114300" distR="114300" simplePos="0" relativeHeight="251663360" behindDoc="0" locked="1" layoutInCell="0" allowOverlap="1" wp14:anchorId="1615215A" wp14:editId="43AD436D">
              <wp:simplePos x="0" y="0"/>
              <wp:positionH relativeFrom="insideMargin">
                <wp:posOffset>-6426200</wp:posOffset>
              </wp:positionH>
              <wp:positionV relativeFrom="paragraph">
                <wp:posOffset>-11586210</wp:posOffset>
              </wp:positionV>
              <wp:extent cx="0" cy="12783185"/>
              <wp:effectExtent l="0" t="0" r="19050" b="18415"/>
              <wp:wrapNone/>
              <wp:docPr id="2" name="Straight Connector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2783185"/>
                      </a:xfrm>
                      <a:prstGeom prst="line">
                        <a:avLst/>
                      </a:prstGeom>
                      <a:ln w="3810">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8632829"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text;mso-width-percent:0;mso-height-percent:0;mso-width-relative:margin;mso-height-relative:margin" from="-506pt,-912.3pt" to="-506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" o:allowincell="f" strokecolor="black [3213]" strokeweight=".3pt">
              <o:lock v:ext="edit" aspectratio="t" shapetype="f"/>
              <w10:wrap anchorx="margin"/>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02DA" w14:textId="77777777" w:rsidR="00754B77" w:rsidRDefault="00754B77">
    <w:pPr>
      <w:pStyle w:val="Footer"/>
    </w:pPr>
    <w:r>
      <w:rPr>
        <w:rFonts w:ascii="Bookman Old Style" w:hAnsi="Bookman Old Style" w:cs="Arial"/>
        <w:noProof/>
        <w:lang w:val="en-US"/>
      </w:rPr>
      <mc:AlternateContent>
        <mc:Choice Requires="wps">
          <w:drawing>
            <wp:anchor distT="0" distB="0" distL="114300" distR="114300" simplePos="0" relativeHeight="251671552" behindDoc="0" locked="1" layoutInCell="0" allowOverlap="1" wp14:anchorId="69007C3F" wp14:editId="52AB59F2">
              <wp:simplePos x="0" y="0"/>
              <wp:positionH relativeFrom="insideMargin">
                <wp:posOffset>673735</wp:posOffset>
              </wp:positionH>
              <wp:positionV relativeFrom="paragraph">
                <wp:posOffset>-12567920</wp:posOffset>
              </wp:positionV>
              <wp:extent cx="0" cy="12810490"/>
              <wp:effectExtent l="0" t="0" r="19050" b="10160"/>
              <wp:wrapNone/>
              <wp:docPr id="7" name="Straight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2810490"/>
                      </a:xfrm>
                      <a:prstGeom prst="line">
                        <a:avLst/>
                      </a:prstGeom>
                      <a:ln w="3810">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20DABFB"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text;mso-width-percent:0;mso-height-percent:0;mso-width-relative:margin;mso-height-relative:margin" from="53.05pt,-989.6pt" to="53.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" o:allowincell="f" strokecolor="black [3213]" strokeweight=".3pt">
              <o:lock v:ext="edit" aspectratio="t" shapetype="f"/>
              <w10:wrap anchorx="margin"/>
              <w10:anchorlock/>
            </v:line>
          </w:pict>
        </mc:Fallback>
      </mc:AlternateContent>
    </w:r>
    <w:r>
      <w:rPr>
        <w:rFonts w:ascii="Bookman Old Style" w:hAnsi="Bookman Old Style" w:cs="Arial"/>
        <w:noProof/>
        <w:lang w:val="en-US"/>
      </w:rPr>
      <mc:AlternateContent>
        <mc:Choice Requires="wps">
          <w:drawing>
            <wp:anchor distT="0" distB="0" distL="114300" distR="114300" simplePos="0" relativeHeight="251665408" behindDoc="0" locked="1" layoutInCell="0" allowOverlap="1" wp14:anchorId="12A689AF" wp14:editId="19FCC037">
              <wp:simplePos x="0" y="0"/>
              <wp:positionH relativeFrom="insideMargin">
                <wp:posOffset>715010</wp:posOffset>
              </wp:positionH>
              <wp:positionV relativeFrom="paragraph">
                <wp:posOffset>-12564745</wp:posOffset>
              </wp:positionV>
              <wp:extent cx="0" cy="12807315"/>
              <wp:effectExtent l="0" t="0" r="19050" b="13335"/>
              <wp:wrapNone/>
              <wp:docPr id="3" name="Straight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2807315"/>
                      </a:xfrm>
                      <a:prstGeom prst="line">
                        <a:avLst/>
                      </a:prstGeom>
                      <a:ln w="3810">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947F448"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text;mso-width-percent:0;mso-height-percent:0;mso-width-relative:margin;mso-height-relative:margin" from="56.3pt,-989.35pt" to="56.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" o:allowincell="f" strokecolor="black [3213]" strokeweight=".3pt">
              <o:lock v:ext="edit" aspectratio="t" shapetype="f"/>
              <w10:wrap anchorx="margin"/>
              <w10:anchorlock/>
            </v:line>
          </w:pict>
        </mc:Fallback>
      </mc:AlternateContent>
    </w:r>
    <w:r>
      <w:rPr>
        <w:rFonts w:ascii="Bookman Old Style" w:hAnsi="Bookman Old Style" w:cs="Arial"/>
        <w:noProof/>
        <w:lang w:val="en-US"/>
      </w:rPr>
      <mc:AlternateContent>
        <mc:Choice Requires="wps">
          <w:drawing>
            <wp:anchor distT="0" distB="0" distL="114300" distR="114300" simplePos="0" relativeHeight="251659264" behindDoc="0" locked="1" layoutInCell="0" allowOverlap="1" wp14:anchorId="1066B5F5" wp14:editId="4F5F1F6A">
              <wp:simplePos x="0" y="0"/>
              <wp:positionH relativeFrom="insideMargin">
                <wp:posOffset>-6280150</wp:posOffset>
              </wp:positionH>
              <wp:positionV relativeFrom="paragraph">
                <wp:posOffset>-10780395</wp:posOffset>
              </wp:positionV>
              <wp:extent cx="0" cy="11567160"/>
              <wp:effectExtent l="0" t="0" r="19050" b="15240"/>
              <wp:wrapNone/>
              <wp:docPr id="6" name="Straight Connec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1567160"/>
                      </a:xfrm>
                      <a:prstGeom prst="line">
                        <a:avLst/>
                      </a:prstGeom>
                      <a:ln w="3810">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8D8277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text;mso-width-percent:0;mso-height-percent:0;mso-width-relative:margin;mso-height-relative:margin" from="-494.5pt,-848.85pt" to="-494.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" o:allowincell="f" strokecolor="black [3213]" strokeweight=".3pt">
              <o:lock v:ext="edit" aspectratio="t" shapetype="f"/>
              <w10:wrap anchorx="margin"/>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9F914" w14:textId="77777777" w:rsidR="00754B77" w:rsidRDefault="00754B77">
    <w:pPr>
      <w:pStyle w:val="Footer"/>
    </w:pPr>
    <w:r>
      <w:rPr>
        <w:noProof/>
        <w:lang w:val="en-US"/>
      </w:rPr>
      <mc:AlternateContent>
        <mc:Choice Requires="wps">
          <w:drawing>
            <wp:anchor distT="45720" distB="45720" distL="114300" distR="114300" simplePos="0" relativeHeight="251677696" behindDoc="0" locked="0" layoutInCell="1" allowOverlap="1" wp14:anchorId="0F45142E" wp14:editId="6823E70D">
              <wp:simplePos x="0" y="0"/>
              <wp:positionH relativeFrom="column">
                <wp:posOffset>15240</wp:posOffset>
              </wp:positionH>
              <wp:positionV relativeFrom="paragraph">
                <wp:posOffset>-538480</wp:posOffset>
              </wp:positionV>
              <wp:extent cx="22098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solidFill>
                        <a:srgbClr val="FFFFFF"/>
                      </a:solidFill>
                      <a:ln w="9525">
                        <a:noFill/>
                        <a:miter lim="800000"/>
                        <a:headEnd/>
                        <a:tailEnd/>
                      </a:ln>
                    </wps:spPr>
                    <wps:txbx>
                      <w:txbxContent>
                        <w:p w14:paraId="45F8310F" w14:textId="77777777" w:rsidR="00754B77" w:rsidRPr="005E6DD1" w:rsidRDefault="00754B77" w:rsidP="005E6DD1">
                          <w:pPr>
                            <w:spacing w:after="120"/>
                            <w:rPr>
                              <w:rFonts w:ascii="Verdana" w:hAnsi="Verdana"/>
                              <w:sz w:val="20"/>
                            </w:rPr>
                          </w:pPr>
                          <w:r w:rsidRPr="005E6DD1">
                            <w:rPr>
                              <w:rFonts w:ascii="Verdana" w:hAnsi="Verdana"/>
                              <w:sz w:val="20"/>
                            </w:rPr>
                            <w:t>Número Identificador</w:t>
                          </w:r>
                        </w:p>
                        <w:p w14:paraId="5D7EE324" w14:textId="77777777" w:rsidR="00754B77" w:rsidRPr="005E6DD1" w:rsidRDefault="00754B77" w:rsidP="005E6DD1">
                          <w:pPr>
                            <w:spacing w:after="120"/>
                            <w:rPr>
                              <w:rFonts w:ascii="Verdana" w:hAnsi="Verdana"/>
                              <w:sz w:val="20"/>
                              <w:lang w:val="en-US"/>
                            </w:rPr>
                          </w:pPr>
                          <w:r>
                            <w:rPr>
                              <w:rFonts w:ascii="Verdana" w:hAnsi="Verdana"/>
                              <w:sz w:val="20"/>
                            </w:rPr>
                            <w:t>SEN2021</w:t>
                          </w:r>
                          <w:r w:rsidRPr="005E6DD1">
                            <w:rPr>
                              <w:rFonts w:ascii="Verdana" w:hAnsi="Verdana"/>
                              <w:sz w:val="20"/>
                            </w:rPr>
                            <w:t xml:space="preserve"> 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45142E" id="_x0000_t202" coordsize="21600,21600" o:spt="202" path="m,l,21600r21600,l21600,xe">
              <v:stroke joinstyle="miter"/>
              <v:path gradientshapeok="t" o:connecttype="rect"/>
            </v:shapetype>
            <v:shape id="Text Box 2" o:spid="_x0000_s1026" type="#_x0000_t202" style="position:absolute;margin-left:1.2pt;margin-top:-42.4pt;width:174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Jx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" stroked="f">
              <v:textbox style="mso-fit-shape-to-text:t">
                <w:txbxContent>
                  <w:p w14:paraId="45F8310F" w14:textId="77777777" w:rsidR="00754B77" w:rsidRPr="005E6DD1" w:rsidRDefault="00754B77" w:rsidP="005E6DD1">
                    <w:pPr>
                      <w:spacing w:after="120"/>
                      <w:rPr>
                        <w:rFonts w:ascii="Verdana" w:hAnsi="Verdana"/>
                        <w:sz w:val="20"/>
                      </w:rPr>
                    </w:pPr>
                    <w:r w:rsidRPr="005E6DD1">
                      <w:rPr>
                        <w:rFonts w:ascii="Verdana" w:hAnsi="Verdana"/>
                        <w:sz w:val="20"/>
                      </w:rPr>
                      <w:t>Número Identificador</w:t>
                    </w:r>
                  </w:p>
                  <w:p w14:paraId="5D7EE324" w14:textId="77777777" w:rsidR="00754B77" w:rsidRPr="005E6DD1" w:rsidRDefault="00754B77" w:rsidP="005E6DD1">
                    <w:pPr>
                      <w:spacing w:after="120"/>
                      <w:rPr>
                        <w:rFonts w:ascii="Verdana" w:hAnsi="Verdana"/>
                        <w:sz w:val="20"/>
                        <w:lang w:val="en-US"/>
                      </w:rPr>
                    </w:pPr>
                    <w:r>
                      <w:rPr>
                        <w:rFonts w:ascii="Verdana" w:hAnsi="Verdana"/>
                        <w:sz w:val="20"/>
                      </w:rPr>
                      <w:t>SEN2021</w:t>
                    </w:r>
                    <w:r w:rsidRPr="005E6DD1">
                      <w:rPr>
                        <w:rFonts w:ascii="Verdana" w:hAnsi="Verdana"/>
                        <w:sz w:val="20"/>
                      </w:rPr>
                      <w:t xml:space="preserve"> _______________</w:t>
                    </w:r>
                  </w:p>
                </w:txbxContent>
              </v:textbox>
              <w10:wrap type="square"/>
            </v:shape>
          </w:pict>
        </mc:Fallback>
      </mc:AlternateContent>
    </w:r>
    <w:r>
      <w:rPr>
        <w:rFonts w:ascii="Bookman Old Style" w:hAnsi="Bookman Old Style" w:cs="Arial"/>
        <w:noProof/>
        <w:lang w:val="en-US"/>
      </w:rPr>
      <mc:AlternateContent>
        <mc:Choice Requires="wps">
          <w:drawing>
            <wp:anchor distT="0" distB="0" distL="114300" distR="114300" simplePos="0" relativeHeight="251667456" behindDoc="0" locked="1" layoutInCell="0" allowOverlap="1" wp14:anchorId="4463BC5B" wp14:editId="413DD8B5">
              <wp:simplePos x="0" y="0"/>
              <wp:positionH relativeFrom="insideMargin">
                <wp:posOffset>673100</wp:posOffset>
              </wp:positionH>
              <wp:positionV relativeFrom="paragraph">
                <wp:posOffset>-12576175</wp:posOffset>
              </wp:positionV>
              <wp:extent cx="0" cy="12810490"/>
              <wp:effectExtent l="0" t="0" r="19050" b="10160"/>
              <wp:wrapNone/>
              <wp:docPr id="4" name="Straight Connecto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2810490"/>
                      </a:xfrm>
                      <a:prstGeom prst="line">
                        <a:avLst/>
                      </a:prstGeom>
                      <a:ln w="3810">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19181C2"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text;mso-width-percent:0;mso-height-percent:0;mso-width-relative:margin;mso-height-relative:margin" from="53pt,-990.25pt" to="5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" o:allowincell="f" strokecolor="black [3213]" strokeweight=".3pt">
              <o:lock v:ext="edit" aspectratio="t" shapetype="f"/>
              <w10:wrap anchorx="margin"/>
              <w10:anchorlock/>
            </v:line>
          </w:pict>
        </mc:Fallback>
      </mc:AlternateContent>
    </w:r>
    <w:r>
      <w:rPr>
        <w:rFonts w:ascii="Bookman Old Style" w:hAnsi="Bookman Old Style" w:cs="Arial"/>
        <w:noProof/>
        <w:lang w:val="en-US"/>
      </w:rPr>
      <mc:AlternateContent>
        <mc:Choice Requires="wps">
          <w:drawing>
            <wp:anchor distT="0" distB="0" distL="114300" distR="114300" simplePos="0" relativeHeight="251661312" behindDoc="0" locked="1" layoutInCell="0" allowOverlap="1" wp14:anchorId="7CAF75EF" wp14:editId="724C5E63">
              <wp:simplePos x="0" y="0"/>
              <wp:positionH relativeFrom="insideMargin">
                <wp:posOffset>715010</wp:posOffset>
              </wp:positionH>
              <wp:positionV relativeFrom="paragraph">
                <wp:posOffset>-12576175</wp:posOffset>
              </wp:positionV>
              <wp:extent cx="0" cy="12813030"/>
              <wp:effectExtent l="0" t="0" r="19050" b="2667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2813030"/>
                      </a:xfrm>
                      <a:prstGeom prst="line">
                        <a:avLst/>
                      </a:prstGeom>
                      <a:ln w="3810">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E07FBF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text;mso-width-percent:0;mso-height-percent:0;mso-width-relative:margin;mso-height-relative:margin" from="56.3pt,-990.25pt" to="56.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" o:allowincell="f" strokecolor="black [3213]" strokeweight=".3pt">
              <o:lock v:ext="edit" aspectratio="t" shapetype="f"/>
              <w10:wrap anchorx="margin"/>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7415F" w14:textId="77777777" w:rsidR="00385524" w:rsidRDefault="00385524">
      <w:r>
        <w:separator/>
      </w:r>
    </w:p>
  </w:footnote>
  <w:footnote w:type="continuationSeparator" w:id="0">
    <w:p w14:paraId="38CD3732" w14:textId="77777777" w:rsidR="00385524" w:rsidRDefault="00385524">
      <w:r>
        <w:continuationSeparator/>
      </w:r>
    </w:p>
  </w:footnote>
  <w:footnote w:id="1">
    <w:p w14:paraId="76CDF2DF" w14:textId="766833B0" w:rsidR="00754B77" w:rsidRPr="00337A94" w:rsidRDefault="00754B77" w:rsidP="00507920">
      <w:pPr>
        <w:pStyle w:val="FootnoteText"/>
        <w:jc w:val="both"/>
        <w:rPr>
          <w:rFonts w:ascii="Verdana" w:hAnsi="Verdana"/>
          <w:sz w:val="17"/>
          <w:szCs w:val="17"/>
        </w:rPr>
      </w:pPr>
      <w:r w:rsidRPr="00337A94">
        <w:rPr>
          <w:rStyle w:val="FootnoteReference"/>
          <w:rFonts w:ascii="Verdana" w:hAnsi="Verdana"/>
          <w:sz w:val="17"/>
          <w:szCs w:val="17"/>
        </w:rPr>
        <w:footnoteRef/>
      </w:r>
      <w:r w:rsidRPr="00337A94">
        <w:rPr>
          <w:rFonts w:ascii="Verdana" w:hAnsi="Verdana"/>
          <w:sz w:val="17"/>
          <w:szCs w:val="17"/>
        </w:rPr>
        <w:t xml:space="preserve"> Específicamente, la denuncia en cuestión lee del siguiente modo: </w:t>
      </w:r>
    </w:p>
    <w:p w14:paraId="55EB5F67" w14:textId="4715A755" w:rsidR="00754B77" w:rsidRPr="00337A94" w:rsidRDefault="00754B77" w:rsidP="00DF278D">
      <w:pPr>
        <w:pStyle w:val="FootnoteText"/>
        <w:ind w:left="720" w:right="810"/>
        <w:jc w:val="both"/>
        <w:rPr>
          <w:rFonts w:ascii="Verdana" w:hAnsi="Verdana"/>
          <w:sz w:val="17"/>
          <w:szCs w:val="17"/>
        </w:rPr>
      </w:pPr>
      <w:r w:rsidRPr="00337A94">
        <w:rPr>
          <w:rFonts w:ascii="Verdana" w:hAnsi="Verdana"/>
          <w:sz w:val="17"/>
          <w:szCs w:val="17"/>
        </w:rPr>
        <w:t xml:space="preserve">El referido acusado Jensen Medina Cardona, allá en o para el día 21 de agosto de 2019 y en Fajardo, Puerto Rico, que forma parte de la jurisdicción del Tribunal de Primera Instancia, Sala de Fajardo, ilegal, voluntaria y criminalmente, a propósito y con conocimiento, con el propósito de defraudar, hizo, alteró, falsificó, imitó, circuló, pasó, publicó y poseyó como genuino una licencia de conducir, documento de naturaleza análoga que debe ser expedido por un funcionario y/o empleado del Estado Libre Asociado de Puerto Rico, Departamento de Transportación y Obras Públicas, a sabiendas de que el mismo era falso, alterado, falsificado y/o imitado, consistente en que el aquí acusado, mientras era evaluado por la Oficina de PSAJ de Fajardo, proveyó una licencia de conducir falsificada 4754810, Categoría 9, con fecha de expiración 15 de septiembre de 2022. </w:t>
      </w:r>
    </w:p>
    <w:p w14:paraId="24C139B4" w14:textId="006362AD" w:rsidR="00754B77" w:rsidRPr="00337A94" w:rsidRDefault="00754B77" w:rsidP="00F9449B">
      <w:pPr>
        <w:pStyle w:val="FootnoteText"/>
        <w:ind w:right="810"/>
        <w:jc w:val="both"/>
        <w:rPr>
          <w:rFonts w:ascii="Verdana" w:hAnsi="Verdana"/>
          <w:sz w:val="17"/>
          <w:szCs w:val="17"/>
        </w:rPr>
      </w:pPr>
      <w:r w:rsidRPr="00337A94">
        <w:rPr>
          <w:rFonts w:ascii="Verdana" w:hAnsi="Verdana"/>
          <w:i/>
          <w:iCs/>
          <w:sz w:val="17"/>
          <w:szCs w:val="17"/>
        </w:rPr>
        <w:t>Véase</w:t>
      </w:r>
      <w:r w:rsidRPr="00337A94">
        <w:rPr>
          <w:rFonts w:ascii="Verdana" w:hAnsi="Verdana"/>
          <w:sz w:val="17"/>
          <w:szCs w:val="17"/>
        </w:rPr>
        <w:t xml:space="preserve">, Apéndice del Recurso, </w:t>
      </w:r>
      <w:r w:rsidRPr="00337A94">
        <w:rPr>
          <w:rFonts w:ascii="Verdana" w:hAnsi="Verdana"/>
          <w:i/>
          <w:iCs/>
          <w:sz w:val="17"/>
          <w:szCs w:val="17"/>
        </w:rPr>
        <w:t>Denuncia</w:t>
      </w:r>
      <w:r w:rsidRPr="00337A94">
        <w:rPr>
          <w:rFonts w:ascii="Verdana" w:hAnsi="Verdana"/>
          <w:sz w:val="17"/>
          <w:szCs w:val="17"/>
        </w:rPr>
        <w:t xml:space="preserve">, pág. 6. </w:t>
      </w:r>
    </w:p>
  </w:footnote>
  <w:footnote w:id="2">
    <w:p w14:paraId="4BF6A5A8" w14:textId="43B4F542" w:rsidR="00754B77" w:rsidRPr="00337A94" w:rsidRDefault="00754B77" w:rsidP="00337A94">
      <w:pPr>
        <w:pStyle w:val="FootnoteText"/>
        <w:jc w:val="both"/>
      </w:pPr>
      <w:r w:rsidRPr="00337A94">
        <w:rPr>
          <w:rStyle w:val="FootnoteReference"/>
          <w:rFonts w:ascii="Verdana" w:hAnsi="Verdana"/>
          <w:sz w:val="17"/>
          <w:szCs w:val="17"/>
        </w:rPr>
        <w:footnoteRef/>
      </w:r>
      <w:r w:rsidRPr="00337A94">
        <w:rPr>
          <w:rFonts w:ascii="Verdana" w:hAnsi="Verdana"/>
          <w:sz w:val="17"/>
          <w:szCs w:val="17"/>
        </w:rPr>
        <w:t xml:space="preserve"> </w:t>
      </w:r>
      <w:r w:rsidRPr="00337A94">
        <w:rPr>
          <w:rFonts w:ascii="Verdana" w:hAnsi="Verdana"/>
          <w:i/>
          <w:iCs/>
          <w:sz w:val="17"/>
          <w:szCs w:val="17"/>
        </w:rPr>
        <w:t xml:space="preserve">Véase, </w:t>
      </w:r>
      <w:r w:rsidRPr="00337A94">
        <w:rPr>
          <w:rFonts w:ascii="Verdana" w:hAnsi="Verdana"/>
          <w:sz w:val="17"/>
          <w:szCs w:val="17"/>
        </w:rPr>
        <w:t xml:space="preserve">Transcripción de la Prueba Oral (“TPO”) de la vista </w:t>
      </w:r>
      <w:r>
        <w:rPr>
          <w:rFonts w:ascii="Verdana" w:hAnsi="Verdana"/>
          <w:sz w:val="17"/>
          <w:szCs w:val="17"/>
        </w:rPr>
        <w:t>efectuada</w:t>
      </w:r>
      <w:r w:rsidRPr="00337A94">
        <w:rPr>
          <w:rFonts w:ascii="Verdana" w:hAnsi="Verdana"/>
          <w:sz w:val="17"/>
          <w:szCs w:val="17"/>
        </w:rPr>
        <w:t xml:space="preserve"> el 5 de mayo de 2021</w:t>
      </w:r>
      <w:r>
        <w:rPr>
          <w:rFonts w:ascii="Verdana" w:hAnsi="Verdana"/>
          <w:sz w:val="17"/>
          <w:szCs w:val="17"/>
        </w:rPr>
        <w:t xml:space="preserve">, a las págs. 9-10.  </w:t>
      </w:r>
    </w:p>
  </w:footnote>
  <w:footnote w:id="3">
    <w:p w14:paraId="4040E8A0" w14:textId="32A3923F" w:rsidR="00754B77" w:rsidRPr="009430A8" w:rsidRDefault="00754B77" w:rsidP="00414481">
      <w:pPr>
        <w:pStyle w:val="FootnoteText"/>
        <w:jc w:val="both"/>
        <w:rPr>
          <w:rFonts w:ascii="Verdana" w:hAnsi="Verdana"/>
          <w:sz w:val="17"/>
          <w:szCs w:val="17"/>
        </w:rPr>
      </w:pPr>
      <w:r w:rsidRPr="00414481">
        <w:rPr>
          <w:rStyle w:val="FootnoteReference"/>
          <w:rFonts w:ascii="Verdana" w:hAnsi="Verdana"/>
          <w:sz w:val="17"/>
          <w:szCs w:val="17"/>
        </w:rPr>
        <w:footnoteRef/>
      </w:r>
      <w:r w:rsidR="009430A8">
        <w:rPr>
          <w:rFonts w:ascii="Verdana" w:hAnsi="Verdana"/>
          <w:sz w:val="17"/>
          <w:szCs w:val="17"/>
        </w:rPr>
        <w:t xml:space="preserve"> </w:t>
      </w:r>
      <w:r w:rsidR="009430A8" w:rsidRPr="009430A8">
        <w:rPr>
          <w:rFonts w:ascii="Verdana" w:hAnsi="Verdana"/>
          <w:i/>
          <w:iCs/>
          <w:sz w:val="17"/>
          <w:szCs w:val="17"/>
        </w:rPr>
        <w:t>Íd</w:t>
      </w:r>
      <w:r w:rsidR="009430A8">
        <w:rPr>
          <w:rFonts w:ascii="Verdana" w:hAnsi="Verdana"/>
          <w:sz w:val="17"/>
          <w:szCs w:val="17"/>
        </w:rPr>
        <w:t xml:space="preserve">. a la pág. 9. </w:t>
      </w:r>
    </w:p>
  </w:footnote>
  <w:footnote w:id="4">
    <w:p w14:paraId="53DA8880" w14:textId="3DBD04AD" w:rsidR="00417920" w:rsidRPr="004D0813" w:rsidRDefault="00417920" w:rsidP="004D0813">
      <w:pPr>
        <w:pStyle w:val="FootnoteText"/>
        <w:jc w:val="both"/>
        <w:rPr>
          <w:rFonts w:ascii="Verdana" w:hAnsi="Verdana"/>
          <w:sz w:val="17"/>
          <w:szCs w:val="17"/>
        </w:rPr>
      </w:pPr>
      <w:r w:rsidRPr="004D0813">
        <w:rPr>
          <w:rStyle w:val="FootnoteReference"/>
          <w:rFonts w:ascii="Verdana" w:hAnsi="Verdana"/>
          <w:sz w:val="17"/>
          <w:szCs w:val="17"/>
        </w:rPr>
        <w:footnoteRef/>
      </w:r>
      <w:r w:rsidRPr="004D0813">
        <w:rPr>
          <w:rFonts w:ascii="Verdana" w:hAnsi="Verdana"/>
          <w:sz w:val="17"/>
          <w:szCs w:val="17"/>
        </w:rPr>
        <w:t xml:space="preserve"> </w:t>
      </w:r>
      <w:r w:rsidRPr="004D0813">
        <w:rPr>
          <w:rFonts w:ascii="Verdana" w:hAnsi="Verdana"/>
          <w:i/>
          <w:iCs/>
          <w:sz w:val="17"/>
          <w:szCs w:val="17"/>
        </w:rPr>
        <w:t>Véase</w:t>
      </w:r>
      <w:r w:rsidRPr="004D0813">
        <w:rPr>
          <w:rFonts w:ascii="Verdana" w:hAnsi="Verdana"/>
          <w:sz w:val="17"/>
          <w:szCs w:val="17"/>
        </w:rPr>
        <w:t xml:space="preserve">, TPO de la vista celebrada el 7 de mayo de 2021, a la pág. 15. </w:t>
      </w:r>
    </w:p>
  </w:footnote>
  <w:footnote w:id="5">
    <w:p w14:paraId="7A88E952" w14:textId="2DD7BDAA" w:rsidR="00417920" w:rsidRPr="004D0813" w:rsidRDefault="00417920" w:rsidP="004D0813">
      <w:pPr>
        <w:pStyle w:val="FootnoteText"/>
        <w:jc w:val="both"/>
        <w:rPr>
          <w:rFonts w:ascii="Verdana" w:hAnsi="Verdana"/>
          <w:sz w:val="17"/>
          <w:szCs w:val="17"/>
        </w:rPr>
      </w:pPr>
      <w:r w:rsidRPr="004D0813">
        <w:rPr>
          <w:rStyle w:val="FootnoteReference"/>
          <w:rFonts w:ascii="Verdana" w:hAnsi="Verdana"/>
          <w:sz w:val="17"/>
          <w:szCs w:val="17"/>
        </w:rPr>
        <w:footnoteRef/>
      </w:r>
      <w:r w:rsidRPr="004D0813">
        <w:rPr>
          <w:rFonts w:ascii="Verdana" w:hAnsi="Verdana"/>
          <w:sz w:val="17"/>
          <w:szCs w:val="17"/>
        </w:rPr>
        <w:t xml:space="preserve"> </w:t>
      </w:r>
      <w:r w:rsidR="00A7514B" w:rsidRPr="004D0813">
        <w:rPr>
          <w:rFonts w:ascii="Verdana" w:hAnsi="Verdana"/>
          <w:i/>
          <w:iCs/>
          <w:sz w:val="17"/>
          <w:szCs w:val="17"/>
        </w:rPr>
        <w:t>Íd.</w:t>
      </w:r>
      <w:r w:rsidR="00A7514B" w:rsidRPr="004D0813">
        <w:rPr>
          <w:rFonts w:ascii="Verdana" w:hAnsi="Verdana"/>
          <w:sz w:val="17"/>
          <w:szCs w:val="17"/>
        </w:rPr>
        <w:t xml:space="preserve"> a la pág. 6</w:t>
      </w:r>
    </w:p>
  </w:footnote>
  <w:footnote w:id="6">
    <w:p w14:paraId="26A4E01F" w14:textId="2ED48FAF" w:rsidR="004D0813" w:rsidRPr="00EC2EDA" w:rsidRDefault="004D0813" w:rsidP="004D0813">
      <w:pPr>
        <w:pStyle w:val="FootnoteText"/>
        <w:jc w:val="both"/>
        <w:rPr>
          <w:rFonts w:ascii="Verdana" w:hAnsi="Verdana"/>
          <w:sz w:val="17"/>
          <w:szCs w:val="17"/>
        </w:rPr>
      </w:pPr>
      <w:r w:rsidRPr="00EC2EDA">
        <w:rPr>
          <w:rStyle w:val="FootnoteReference"/>
          <w:rFonts w:ascii="Verdana" w:hAnsi="Verdana"/>
          <w:sz w:val="17"/>
          <w:szCs w:val="17"/>
        </w:rPr>
        <w:footnoteRef/>
      </w:r>
      <w:r w:rsidRPr="00EC2EDA">
        <w:rPr>
          <w:rFonts w:ascii="Verdana" w:hAnsi="Verdana"/>
          <w:sz w:val="17"/>
          <w:szCs w:val="17"/>
        </w:rPr>
        <w:t xml:space="preserve"> Surge del expediente que la Hon. Geisa M. Marrero Martínez leyó el informe en sala para beneficio de las partes.   </w:t>
      </w:r>
    </w:p>
  </w:footnote>
  <w:footnote w:id="7">
    <w:p w14:paraId="316BA2E2" w14:textId="641A67BC" w:rsidR="00EC2EDA" w:rsidRPr="00EC2EDA" w:rsidRDefault="00EC2EDA" w:rsidP="00EC2EDA">
      <w:pPr>
        <w:pStyle w:val="FootnoteText"/>
        <w:jc w:val="both"/>
        <w:rPr>
          <w:rFonts w:ascii="Verdana" w:hAnsi="Verdana"/>
          <w:sz w:val="17"/>
          <w:szCs w:val="17"/>
        </w:rPr>
      </w:pPr>
      <w:r w:rsidRPr="00EC2EDA">
        <w:rPr>
          <w:rStyle w:val="FootnoteReference"/>
          <w:rFonts w:ascii="Verdana" w:hAnsi="Verdana"/>
          <w:sz w:val="17"/>
          <w:szCs w:val="17"/>
        </w:rPr>
        <w:footnoteRef/>
      </w:r>
      <w:r w:rsidRPr="00EC2EDA">
        <w:rPr>
          <w:rFonts w:ascii="Verdana" w:hAnsi="Verdana"/>
          <w:sz w:val="17"/>
          <w:szCs w:val="17"/>
        </w:rPr>
        <w:t xml:space="preserve"> </w:t>
      </w:r>
      <w:r w:rsidR="00215DF9">
        <w:rPr>
          <w:rFonts w:ascii="Verdana" w:hAnsi="Verdana"/>
          <w:sz w:val="17"/>
          <w:szCs w:val="17"/>
        </w:rPr>
        <w:t>Advertimos</w:t>
      </w:r>
      <w:r>
        <w:rPr>
          <w:rFonts w:ascii="Verdana" w:hAnsi="Verdana"/>
          <w:sz w:val="17"/>
          <w:szCs w:val="17"/>
        </w:rPr>
        <w:t xml:space="preserve"> que ninguna de las partes incluyó </w:t>
      </w:r>
      <w:r w:rsidR="00F66973">
        <w:rPr>
          <w:rFonts w:ascii="Verdana" w:hAnsi="Verdana"/>
          <w:sz w:val="17"/>
          <w:szCs w:val="17"/>
        </w:rPr>
        <w:t>copia del</w:t>
      </w:r>
      <w:r>
        <w:rPr>
          <w:rFonts w:ascii="Verdana" w:hAnsi="Verdana"/>
          <w:sz w:val="17"/>
          <w:szCs w:val="17"/>
        </w:rPr>
        <w:t xml:space="preserve"> informe del PSAJ </w:t>
      </w:r>
      <w:r w:rsidR="00F66973">
        <w:rPr>
          <w:rFonts w:ascii="Verdana" w:hAnsi="Verdana"/>
          <w:sz w:val="17"/>
          <w:szCs w:val="17"/>
        </w:rPr>
        <w:t xml:space="preserve">como parte de sus apéndices. </w:t>
      </w:r>
    </w:p>
  </w:footnote>
  <w:footnote w:id="8">
    <w:p w14:paraId="0C2982B2" w14:textId="77777777" w:rsidR="00EC2EDA" w:rsidRPr="00EC2EDA" w:rsidRDefault="00EC2EDA" w:rsidP="00EC2EDA">
      <w:pPr>
        <w:pStyle w:val="FootnoteText"/>
        <w:jc w:val="both"/>
        <w:rPr>
          <w:rFonts w:ascii="Verdana" w:hAnsi="Verdana"/>
          <w:sz w:val="17"/>
          <w:szCs w:val="17"/>
        </w:rPr>
      </w:pPr>
      <w:r w:rsidRPr="00EC2EDA">
        <w:rPr>
          <w:rStyle w:val="FootnoteReference"/>
          <w:rFonts w:ascii="Verdana" w:hAnsi="Verdana"/>
          <w:sz w:val="17"/>
          <w:szCs w:val="17"/>
        </w:rPr>
        <w:footnoteRef/>
      </w:r>
      <w:r w:rsidRPr="00EC2EDA">
        <w:rPr>
          <w:rFonts w:ascii="Verdana" w:hAnsi="Verdana"/>
          <w:sz w:val="17"/>
          <w:szCs w:val="17"/>
        </w:rPr>
        <w:t xml:space="preserve"> La referida Regla dispone lo siguiente: </w:t>
      </w:r>
    </w:p>
    <w:p w14:paraId="0053A734" w14:textId="43E99121" w:rsidR="00EC2EDA" w:rsidRPr="00EC2EDA" w:rsidRDefault="00EC2EDA" w:rsidP="00EC2EDA">
      <w:pPr>
        <w:pStyle w:val="FootnoteText"/>
        <w:ind w:left="720" w:right="720"/>
        <w:jc w:val="both"/>
        <w:rPr>
          <w:rFonts w:ascii="Verdana" w:hAnsi="Verdana"/>
          <w:sz w:val="17"/>
          <w:szCs w:val="17"/>
        </w:rPr>
      </w:pPr>
      <w:r w:rsidRPr="00EC2EDA">
        <w:rPr>
          <w:rFonts w:ascii="Verdana" w:hAnsi="Verdana"/>
          <w:sz w:val="17"/>
          <w:szCs w:val="17"/>
        </w:rPr>
        <w:t xml:space="preserve">En situaciones no previstas por la ley, estas Reglas o las Reglas que apruebe el Tribunal Supremo, tanto éste como el Tribunal de Circuito de Apelaciones, encauzarán el trámite en la forma que a su juicio sirva los mejores intereses de todas las partes. Queda reservada la facultad del Tribunal Supremo y del Tribunal del Circuito de Apelaciones para prescindir de términos, escritos o procedimientos específicos en cualquier caso ante su consideración, con el propósito de lograr su más justo y eficiente despacho. </w:t>
      </w:r>
      <w:r w:rsidRPr="00EC2EDA">
        <w:rPr>
          <w:rFonts w:ascii="Verdana" w:hAnsi="Verdana"/>
          <w:i/>
          <w:sz w:val="17"/>
          <w:szCs w:val="17"/>
        </w:rPr>
        <w:t xml:space="preserve">Véase </w:t>
      </w:r>
      <w:r w:rsidRPr="00EC2EDA">
        <w:rPr>
          <w:rFonts w:ascii="Verdana" w:hAnsi="Verdana"/>
          <w:sz w:val="17"/>
          <w:szCs w:val="17"/>
        </w:rPr>
        <w:t xml:space="preserve">también: </w:t>
      </w:r>
      <w:r w:rsidRPr="00EC2EDA">
        <w:rPr>
          <w:rFonts w:ascii="Verdana" w:hAnsi="Verdana"/>
          <w:sz w:val="17"/>
          <w:szCs w:val="17"/>
          <w:u w:val="single"/>
        </w:rPr>
        <w:t>Pueblo v. Tribunal de Distrito,</w:t>
      </w:r>
      <w:r w:rsidRPr="00EC2EDA">
        <w:rPr>
          <w:rFonts w:ascii="Verdana" w:hAnsi="Verdana"/>
          <w:sz w:val="17"/>
          <w:szCs w:val="17"/>
        </w:rPr>
        <w:t xml:space="preserve"> 97 DPR 241 (1969); </w:t>
      </w:r>
      <w:r w:rsidRPr="00EC2EDA">
        <w:rPr>
          <w:rFonts w:ascii="Verdana" w:hAnsi="Verdana"/>
          <w:sz w:val="17"/>
          <w:szCs w:val="17"/>
          <w:u w:val="single"/>
        </w:rPr>
        <w:t>Pérez v. Corte,</w:t>
      </w:r>
      <w:r w:rsidRPr="00EC2EDA">
        <w:rPr>
          <w:rFonts w:ascii="Verdana" w:hAnsi="Verdana"/>
          <w:sz w:val="17"/>
          <w:szCs w:val="17"/>
        </w:rPr>
        <w:t xml:space="preserve"> 50 DPR 540 (1936).</w:t>
      </w:r>
      <w:r>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B42D" w14:textId="77777777" w:rsidR="00754B77" w:rsidRPr="00357989" w:rsidRDefault="00754B77">
    <w:pPr>
      <w:pStyle w:val="Header"/>
      <w:ind w:right="360"/>
      <w:rPr>
        <w:rFonts w:ascii="Verdana" w:hAnsi="Verdana"/>
        <w:sz w:val="22"/>
      </w:rPr>
    </w:pPr>
  </w:p>
  <w:p w14:paraId="7B29FAFC" w14:textId="77777777" w:rsidR="00754B77" w:rsidRPr="00357989" w:rsidRDefault="00754B77">
    <w:pPr>
      <w:pStyle w:val="Header"/>
      <w:ind w:right="360"/>
      <w:rPr>
        <w:rFonts w:ascii="Verdana" w:hAnsi="Verdana"/>
        <w:sz w:val="22"/>
      </w:rPr>
    </w:pPr>
  </w:p>
  <w:p w14:paraId="148E912E" w14:textId="77777777" w:rsidR="00754B77" w:rsidRPr="00357989" w:rsidRDefault="00754B77">
    <w:pPr>
      <w:pStyle w:val="Header"/>
      <w:ind w:right="360"/>
      <w:rPr>
        <w:rFonts w:ascii="Verdana" w:hAnsi="Verdana"/>
        <w:sz w:val="22"/>
      </w:rPr>
    </w:pPr>
  </w:p>
  <w:p w14:paraId="3C646076" w14:textId="77777777" w:rsidR="00754B77" w:rsidRPr="00357989" w:rsidRDefault="00754B77" w:rsidP="00CB028B">
    <w:pPr>
      <w:pStyle w:val="Header"/>
      <w:framePr w:wrap="around" w:vAnchor="text" w:hAnchor="margin" w:xAlign="right" w:y="63"/>
      <w:rPr>
        <w:rStyle w:val="PageNumber"/>
        <w:rFonts w:ascii="Verdana" w:hAnsi="Verdana"/>
        <w:sz w:val="22"/>
      </w:rPr>
    </w:pPr>
    <w:r w:rsidRPr="00357989">
      <w:rPr>
        <w:rStyle w:val="PageNumber"/>
        <w:rFonts w:ascii="Verdana" w:hAnsi="Verdana"/>
        <w:sz w:val="22"/>
      </w:rPr>
      <w:fldChar w:fldCharType="begin"/>
    </w:r>
    <w:r w:rsidRPr="00357989">
      <w:rPr>
        <w:rStyle w:val="PageNumber"/>
        <w:rFonts w:ascii="Verdana" w:hAnsi="Verdana"/>
        <w:sz w:val="22"/>
      </w:rPr>
      <w:instrText xml:space="preserve">PAGE  </w:instrText>
    </w:r>
    <w:r w:rsidRPr="00357989">
      <w:rPr>
        <w:rStyle w:val="PageNumber"/>
        <w:rFonts w:ascii="Verdana" w:hAnsi="Verdana"/>
        <w:sz w:val="22"/>
      </w:rPr>
      <w:fldChar w:fldCharType="separate"/>
    </w:r>
    <w:r>
      <w:rPr>
        <w:rStyle w:val="PageNumber"/>
        <w:rFonts w:ascii="Verdana" w:hAnsi="Verdana"/>
        <w:noProof/>
        <w:sz w:val="22"/>
      </w:rPr>
      <w:t>2</w:t>
    </w:r>
    <w:r w:rsidRPr="00357989">
      <w:rPr>
        <w:rStyle w:val="PageNumber"/>
        <w:rFonts w:ascii="Verdana" w:hAnsi="Verdana"/>
        <w:sz w:val="22"/>
      </w:rPr>
      <w:fldChar w:fldCharType="end"/>
    </w:r>
  </w:p>
  <w:p w14:paraId="71D56508" w14:textId="77777777" w:rsidR="00754B77" w:rsidRPr="00357989" w:rsidRDefault="00754B77" w:rsidP="009330CA">
    <w:pPr>
      <w:pStyle w:val="Header"/>
      <w:ind w:right="360"/>
      <w:rPr>
        <w:rFonts w:ascii="Verdana" w:hAnsi="Verdana"/>
        <w:sz w:val="22"/>
      </w:rPr>
    </w:pPr>
    <w:r w:rsidRPr="00357989">
      <w:rPr>
        <w:rFonts w:ascii="Verdana" w:hAnsi="Verdana" w:cs="Arial"/>
        <w:lang w:val="es-MX"/>
      </w:rPr>
      <w:t>KL</w:t>
    </w:r>
    <w:r>
      <w:rPr>
        <w:rFonts w:ascii="Verdana" w:hAnsi="Verdana" w:cs="Arial"/>
        <w:lang w:val="es-MX"/>
      </w:rPr>
      <w:t>CE202100583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1F6B" w14:textId="77777777" w:rsidR="00754B77" w:rsidRDefault="00754B77" w:rsidP="0076026C">
    <w:pPr>
      <w:pStyle w:val="Header"/>
      <w:tabs>
        <w:tab w:val="left" w:pos="3960"/>
      </w:tabs>
      <w:ind w:right="360"/>
      <w:rPr>
        <w:rFonts w:ascii="Bookman Old Style" w:hAnsi="Bookman Old Style"/>
        <w:bCs/>
      </w:rPr>
    </w:pPr>
  </w:p>
  <w:p w14:paraId="70BC3511" w14:textId="77777777" w:rsidR="00754B77" w:rsidRDefault="00754B77" w:rsidP="0076026C">
    <w:pPr>
      <w:pStyle w:val="Header"/>
      <w:tabs>
        <w:tab w:val="left" w:pos="3960"/>
      </w:tabs>
      <w:ind w:right="360"/>
      <w:rPr>
        <w:rFonts w:ascii="Bookman Old Style" w:hAnsi="Bookman Old Style"/>
        <w:bCs/>
      </w:rPr>
    </w:pPr>
  </w:p>
  <w:p w14:paraId="7F4CCE46" w14:textId="77777777" w:rsidR="00754B77" w:rsidRDefault="00754B77" w:rsidP="0076026C">
    <w:pPr>
      <w:pStyle w:val="Header"/>
      <w:tabs>
        <w:tab w:val="left" w:pos="3960"/>
      </w:tabs>
      <w:ind w:right="360"/>
      <w:rPr>
        <w:rFonts w:ascii="Bookman Old Style" w:hAnsi="Bookman Old Style"/>
        <w:bCs/>
      </w:rPr>
    </w:pPr>
  </w:p>
  <w:p w14:paraId="4092526F" w14:textId="77777777" w:rsidR="00754B77" w:rsidRPr="00EE58B3" w:rsidRDefault="00754B77" w:rsidP="00CB028B">
    <w:pPr>
      <w:pStyle w:val="Header"/>
      <w:framePr w:wrap="around" w:vAnchor="text" w:hAnchor="page" w:x="9914" w:y="35"/>
      <w:rPr>
        <w:rStyle w:val="PageNumber"/>
        <w:rFonts w:ascii="Verdana" w:hAnsi="Verdana"/>
        <w:bCs/>
        <w:sz w:val="22"/>
        <w:szCs w:val="18"/>
      </w:rPr>
    </w:pPr>
    <w:r w:rsidRPr="00EE58B3">
      <w:rPr>
        <w:rStyle w:val="PageNumber"/>
        <w:rFonts w:ascii="Verdana" w:hAnsi="Verdana"/>
        <w:bCs/>
        <w:sz w:val="22"/>
        <w:szCs w:val="18"/>
      </w:rPr>
      <w:fldChar w:fldCharType="begin"/>
    </w:r>
    <w:r w:rsidRPr="00EE58B3">
      <w:rPr>
        <w:rStyle w:val="PageNumber"/>
        <w:rFonts w:ascii="Verdana" w:hAnsi="Verdana"/>
        <w:bCs/>
        <w:sz w:val="22"/>
        <w:szCs w:val="18"/>
      </w:rPr>
      <w:instrText xml:space="preserve">PAGE  </w:instrText>
    </w:r>
    <w:r w:rsidRPr="00EE58B3">
      <w:rPr>
        <w:rStyle w:val="PageNumber"/>
        <w:rFonts w:ascii="Verdana" w:hAnsi="Verdana"/>
        <w:bCs/>
        <w:sz w:val="22"/>
        <w:szCs w:val="18"/>
      </w:rPr>
      <w:fldChar w:fldCharType="separate"/>
    </w:r>
    <w:r w:rsidRPr="00EE58B3">
      <w:rPr>
        <w:rStyle w:val="PageNumber"/>
        <w:rFonts w:ascii="Verdana" w:hAnsi="Verdana"/>
        <w:bCs/>
        <w:noProof/>
        <w:sz w:val="22"/>
        <w:szCs w:val="18"/>
      </w:rPr>
      <w:t>3</w:t>
    </w:r>
    <w:r w:rsidRPr="00EE58B3">
      <w:rPr>
        <w:rStyle w:val="PageNumber"/>
        <w:rFonts w:ascii="Verdana" w:hAnsi="Verdana"/>
        <w:bCs/>
        <w:sz w:val="22"/>
        <w:szCs w:val="18"/>
      </w:rPr>
      <w:fldChar w:fldCharType="end"/>
    </w:r>
  </w:p>
  <w:p w14:paraId="487141AB" w14:textId="77777777" w:rsidR="00754B77" w:rsidRPr="002C4E54" w:rsidRDefault="00754B77" w:rsidP="00717872">
    <w:pPr>
      <w:pStyle w:val="Header"/>
      <w:tabs>
        <w:tab w:val="left" w:pos="3960"/>
      </w:tabs>
      <w:ind w:right="360"/>
      <w:rPr>
        <w:rFonts w:ascii="Bookman Old Style" w:hAnsi="Bookman Old Style"/>
      </w:rPr>
    </w:pPr>
    <w:r w:rsidRPr="00357989">
      <w:rPr>
        <w:rFonts w:ascii="Verdana" w:hAnsi="Verdana" w:cs="Arial"/>
        <w:lang w:val="es-MX"/>
      </w:rPr>
      <w:t>KL</w:t>
    </w:r>
    <w:r>
      <w:rPr>
        <w:rFonts w:ascii="Verdana" w:hAnsi="Verdana" w:cs="Arial"/>
        <w:lang w:val="es-MX"/>
      </w:rPr>
      <w:t>CE202100583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0727"/>
    <w:multiLevelType w:val="hybridMultilevel"/>
    <w:tmpl w:val="1B26D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82EA5"/>
    <w:multiLevelType w:val="hybridMultilevel"/>
    <w:tmpl w:val="BCEAD08A"/>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2" w15:restartNumberingAfterBreak="0">
    <w:nsid w:val="127678A5"/>
    <w:multiLevelType w:val="hybridMultilevel"/>
    <w:tmpl w:val="44724044"/>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231C2614"/>
    <w:multiLevelType w:val="hybridMultilevel"/>
    <w:tmpl w:val="49F81BA0"/>
    <w:lvl w:ilvl="0" w:tplc="52CE299A">
      <w:start w:val="1"/>
      <w:numFmt w:val="upperLetter"/>
      <w:lvlText w:val="%1."/>
      <w:lvlJc w:val="left"/>
      <w:pPr>
        <w:ind w:left="720" w:hanging="360"/>
      </w:pPr>
      <w:rPr>
        <w:rFonts w:hint="default"/>
        <w:b/>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3289628E"/>
    <w:multiLevelType w:val="hybridMultilevel"/>
    <w:tmpl w:val="EDCC33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6B4F49"/>
    <w:multiLevelType w:val="hybridMultilevel"/>
    <w:tmpl w:val="E3641BDC"/>
    <w:lvl w:ilvl="0" w:tplc="BA780BE0">
      <w:start w:val="1"/>
      <w:numFmt w:val="lowerLetter"/>
      <w:lvlText w:val="(%1)"/>
      <w:lvlJc w:val="left"/>
      <w:pPr>
        <w:tabs>
          <w:tab w:val="num" w:pos="1230"/>
        </w:tabs>
        <w:ind w:left="1230" w:hanging="12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1F76AD"/>
    <w:multiLevelType w:val="hybridMultilevel"/>
    <w:tmpl w:val="BC06BC52"/>
    <w:lvl w:ilvl="0" w:tplc="D8BE7C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A383CE7"/>
    <w:multiLevelType w:val="hybridMultilevel"/>
    <w:tmpl w:val="A56213DE"/>
    <w:lvl w:ilvl="0" w:tplc="72AA69A4">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3B6"/>
    <w:rsid w:val="000005F0"/>
    <w:rsid w:val="00001BC7"/>
    <w:rsid w:val="00002028"/>
    <w:rsid w:val="0001274E"/>
    <w:rsid w:val="00013625"/>
    <w:rsid w:val="000136EE"/>
    <w:rsid w:val="00014DD6"/>
    <w:rsid w:val="00015CE9"/>
    <w:rsid w:val="00017040"/>
    <w:rsid w:val="00020152"/>
    <w:rsid w:val="0002068F"/>
    <w:rsid w:val="000314AA"/>
    <w:rsid w:val="00031E03"/>
    <w:rsid w:val="00032A96"/>
    <w:rsid w:val="00034DA7"/>
    <w:rsid w:val="0003689E"/>
    <w:rsid w:val="00040A75"/>
    <w:rsid w:val="00041AEE"/>
    <w:rsid w:val="00041B62"/>
    <w:rsid w:val="00042BE8"/>
    <w:rsid w:val="00043103"/>
    <w:rsid w:val="000438B7"/>
    <w:rsid w:val="000441A3"/>
    <w:rsid w:val="00044759"/>
    <w:rsid w:val="000457BD"/>
    <w:rsid w:val="00046780"/>
    <w:rsid w:val="00047FB0"/>
    <w:rsid w:val="000509FA"/>
    <w:rsid w:val="000532AE"/>
    <w:rsid w:val="000533A6"/>
    <w:rsid w:val="00054ECC"/>
    <w:rsid w:val="00057631"/>
    <w:rsid w:val="000604C7"/>
    <w:rsid w:val="00060C6B"/>
    <w:rsid w:val="00060C7C"/>
    <w:rsid w:val="00061820"/>
    <w:rsid w:val="000618D4"/>
    <w:rsid w:val="0006209D"/>
    <w:rsid w:val="00063557"/>
    <w:rsid w:val="00064D07"/>
    <w:rsid w:val="00065943"/>
    <w:rsid w:val="00066771"/>
    <w:rsid w:val="00070697"/>
    <w:rsid w:val="000711D4"/>
    <w:rsid w:val="00071F4C"/>
    <w:rsid w:val="00074D3F"/>
    <w:rsid w:val="00075012"/>
    <w:rsid w:val="00077353"/>
    <w:rsid w:val="0008095A"/>
    <w:rsid w:val="00087940"/>
    <w:rsid w:val="00087D04"/>
    <w:rsid w:val="00090DB1"/>
    <w:rsid w:val="0009514D"/>
    <w:rsid w:val="000962C9"/>
    <w:rsid w:val="00096478"/>
    <w:rsid w:val="000968B9"/>
    <w:rsid w:val="000A03B7"/>
    <w:rsid w:val="000A0A42"/>
    <w:rsid w:val="000A2DA0"/>
    <w:rsid w:val="000A3E1E"/>
    <w:rsid w:val="000A53DD"/>
    <w:rsid w:val="000A7496"/>
    <w:rsid w:val="000B199A"/>
    <w:rsid w:val="000B2A5F"/>
    <w:rsid w:val="000B3523"/>
    <w:rsid w:val="000B7E7A"/>
    <w:rsid w:val="000C0241"/>
    <w:rsid w:val="000C3957"/>
    <w:rsid w:val="000C48B7"/>
    <w:rsid w:val="000C7BE1"/>
    <w:rsid w:val="000D0417"/>
    <w:rsid w:val="000D04A8"/>
    <w:rsid w:val="000D12A0"/>
    <w:rsid w:val="000D1C72"/>
    <w:rsid w:val="000D2015"/>
    <w:rsid w:val="000D2205"/>
    <w:rsid w:val="000D5010"/>
    <w:rsid w:val="000E0A6F"/>
    <w:rsid w:val="000E1E06"/>
    <w:rsid w:val="000E2C01"/>
    <w:rsid w:val="000E6376"/>
    <w:rsid w:val="000F3CBF"/>
    <w:rsid w:val="000F4BA1"/>
    <w:rsid w:val="000F70A1"/>
    <w:rsid w:val="000F72C8"/>
    <w:rsid w:val="001037B0"/>
    <w:rsid w:val="00104426"/>
    <w:rsid w:val="00106C23"/>
    <w:rsid w:val="00106E54"/>
    <w:rsid w:val="00110BD2"/>
    <w:rsid w:val="00114854"/>
    <w:rsid w:val="00116D9A"/>
    <w:rsid w:val="00117868"/>
    <w:rsid w:val="00120F0E"/>
    <w:rsid w:val="00123571"/>
    <w:rsid w:val="00124809"/>
    <w:rsid w:val="0012550A"/>
    <w:rsid w:val="00126281"/>
    <w:rsid w:val="00130D23"/>
    <w:rsid w:val="00133826"/>
    <w:rsid w:val="00137746"/>
    <w:rsid w:val="001402D7"/>
    <w:rsid w:val="00141410"/>
    <w:rsid w:val="00141F02"/>
    <w:rsid w:val="00143718"/>
    <w:rsid w:val="001464BD"/>
    <w:rsid w:val="001475BF"/>
    <w:rsid w:val="00147FDD"/>
    <w:rsid w:val="00150877"/>
    <w:rsid w:val="0015131A"/>
    <w:rsid w:val="00152950"/>
    <w:rsid w:val="001531C6"/>
    <w:rsid w:val="00161406"/>
    <w:rsid w:val="00161616"/>
    <w:rsid w:val="00163173"/>
    <w:rsid w:val="00163E37"/>
    <w:rsid w:val="00166D2B"/>
    <w:rsid w:val="00167C64"/>
    <w:rsid w:val="00170A3E"/>
    <w:rsid w:val="00171372"/>
    <w:rsid w:val="00172445"/>
    <w:rsid w:val="00172A0F"/>
    <w:rsid w:val="00174B95"/>
    <w:rsid w:val="001775BA"/>
    <w:rsid w:val="00177874"/>
    <w:rsid w:val="001815AA"/>
    <w:rsid w:val="00181EE5"/>
    <w:rsid w:val="00182314"/>
    <w:rsid w:val="00182A17"/>
    <w:rsid w:val="00183082"/>
    <w:rsid w:val="001841AE"/>
    <w:rsid w:val="001852DB"/>
    <w:rsid w:val="00186165"/>
    <w:rsid w:val="00191EE0"/>
    <w:rsid w:val="00193936"/>
    <w:rsid w:val="00195CA6"/>
    <w:rsid w:val="00195E30"/>
    <w:rsid w:val="00196523"/>
    <w:rsid w:val="001A0E05"/>
    <w:rsid w:val="001A1FA2"/>
    <w:rsid w:val="001A6220"/>
    <w:rsid w:val="001A6B67"/>
    <w:rsid w:val="001B08E7"/>
    <w:rsid w:val="001B246A"/>
    <w:rsid w:val="001B3A0A"/>
    <w:rsid w:val="001B3F00"/>
    <w:rsid w:val="001B4B45"/>
    <w:rsid w:val="001B72CE"/>
    <w:rsid w:val="001B7921"/>
    <w:rsid w:val="001C3052"/>
    <w:rsid w:val="001D01B6"/>
    <w:rsid w:val="001D30AC"/>
    <w:rsid w:val="001D3CE8"/>
    <w:rsid w:val="001D4425"/>
    <w:rsid w:val="001E4F68"/>
    <w:rsid w:val="001E527B"/>
    <w:rsid w:val="001E6239"/>
    <w:rsid w:val="001E7235"/>
    <w:rsid w:val="001F0158"/>
    <w:rsid w:val="001F0AE8"/>
    <w:rsid w:val="001F1CE4"/>
    <w:rsid w:val="001F33AF"/>
    <w:rsid w:val="00201E9C"/>
    <w:rsid w:val="00201EC9"/>
    <w:rsid w:val="00215DF9"/>
    <w:rsid w:val="00216CD6"/>
    <w:rsid w:val="002178F7"/>
    <w:rsid w:val="00222826"/>
    <w:rsid w:val="00226CA3"/>
    <w:rsid w:val="002312FF"/>
    <w:rsid w:val="002400F2"/>
    <w:rsid w:val="002503FA"/>
    <w:rsid w:val="0025047A"/>
    <w:rsid w:val="0025668E"/>
    <w:rsid w:val="00256B9A"/>
    <w:rsid w:val="00263F4D"/>
    <w:rsid w:val="002678BE"/>
    <w:rsid w:val="002704DF"/>
    <w:rsid w:val="00271DAB"/>
    <w:rsid w:val="00274134"/>
    <w:rsid w:val="00274B2C"/>
    <w:rsid w:val="00274EB4"/>
    <w:rsid w:val="00275861"/>
    <w:rsid w:val="002814BC"/>
    <w:rsid w:val="00281AFF"/>
    <w:rsid w:val="00281EB5"/>
    <w:rsid w:val="002833E1"/>
    <w:rsid w:val="002866D3"/>
    <w:rsid w:val="00286834"/>
    <w:rsid w:val="00290A8E"/>
    <w:rsid w:val="0029135B"/>
    <w:rsid w:val="00291448"/>
    <w:rsid w:val="002916CA"/>
    <w:rsid w:val="00291CF0"/>
    <w:rsid w:val="00292280"/>
    <w:rsid w:val="002931EB"/>
    <w:rsid w:val="0029494A"/>
    <w:rsid w:val="00294D6A"/>
    <w:rsid w:val="00296676"/>
    <w:rsid w:val="00297BF6"/>
    <w:rsid w:val="002A2336"/>
    <w:rsid w:val="002A2AE0"/>
    <w:rsid w:val="002A36A3"/>
    <w:rsid w:val="002A3BD0"/>
    <w:rsid w:val="002A3C15"/>
    <w:rsid w:val="002A4882"/>
    <w:rsid w:val="002A71EA"/>
    <w:rsid w:val="002A7A81"/>
    <w:rsid w:val="002B1F38"/>
    <w:rsid w:val="002B5CE5"/>
    <w:rsid w:val="002C06F1"/>
    <w:rsid w:val="002C0902"/>
    <w:rsid w:val="002C1991"/>
    <w:rsid w:val="002C3421"/>
    <w:rsid w:val="002C3425"/>
    <w:rsid w:val="002C3564"/>
    <w:rsid w:val="002C386F"/>
    <w:rsid w:val="002C4D39"/>
    <w:rsid w:val="002C4E54"/>
    <w:rsid w:val="002C52CE"/>
    <w:rsid w:val="002D09EB"/>
    <w:rsid w:val="002D5B67"/>
    <w:rsid w:val="002E0041"/>
    <w:rsid w:val="002E02F5"/>
    <w:rsid w:val="002E09AF"/>
    <w:rsid w:val="002E0D58"/>
    <w:rsid w:val="002E1265"/>
    <w:rsid w:val="002E14B1"/>
    <w:rsid w:val="002E14C2"/>
    <w:rsid w:val="002E1F89"/>
    <w:rsid w:val="002E4AC9"/>
    <w:rsid w:val="002E4B75"/>
    <w:rsid w:val="002E510F"/>
    <w:rsid w:val="002F16A3"/>
    <w:rsid w:val="002F4C38"/>
    <w:rsid w:val="002F5EDE"/>
    <w:rsid w:val="003033C3"/>
    <w:rsid w:val="0030365A"/>
    <w:rsid w:val="003050B2"/>
    <w:rsid w:val="00305AB3"/>
    <w:rsid w:val="0030701C"/>
    <w:rsid w:val="00310B66"/>
    <w:rsid w:val="00311123"/>
    <w:rsid w:val="003113B9"/>
    <w:rsid w:val="00312771"/>
    <w:rsid w:val="003136DF"/>
    <w:rsid w:val="00316A2C"/>
    <w:rsid w:val="00316E1C"/>
    <w:rsid w:val="003203EA"/>
    <w:rsid w:val="0032318E"/>
    <w:rsid w:val="0032630B"/>
    <w:rsid w:val="00326316"/>
    <w:rsid w:val="00326800"/>
    <w:rsid w:val="00326C6C"/>
    <w:rsid w:val="00331421"/>
    <w:rsid w:val="0033266B"/>
    <w:rsid w:val="00332D55"/>
    <w:rsid w:val="00332E2B"/>
    <w:rsid w:val="00334A51"/>
    <w:rsid w:val="00335E62"/>
    <w:rsid w:val="003363F5"/>
    <w:rsid w:val="00337A94"/>
    <w:rsid w:val="003419C5"/>
    <w:rsid w:val="0034280B"/>
    <w:rsid w:val="003449A6"/>
    <w:rsid w:val="003453A6"/>
    <w:rsid w:val="003458A4"/>
    <w:rsid w:val="00345C27"/>
    <w:rsid w:val="003468DA"/>
    <w:rsid w:val="00353821"/>
    <w:rsid w:val="00357989"/>
    <w:rsid w:val="00360982"/>
    <w:rsid w:val="00360D65"/>
    <w:rsid w:val="00361AF4"/>
    <w:rsid w:val="00365163"/>
    <w:rsid w:val="00374D7C"/>
    <w:rsid w:val="00375194"/>
    <w:rsid w:val="003776EC"/>
    <w:rsid w:val="00377B6E"/>
    <w:rsid w:val="00385524"/>
    <w:rsid w:val="00386112"/>
    <w:rsid w:val="00386753"/>
    <w:rsid w:val="0038697E"/>
    <w:rsid w:val="00386A5E"/>
    <w:rsid w:val="00394571"/>
    <w:rsid w:val="003A28FD"/>
    <w:rsid w:val="003A5141"/>
    <w:rsid w:val="003A555A"/>
    <w:rsid w:val="003B10C3"/>
    <w:rsid w:val="003B471E"/>
    <w:rsid w:val="003B4D4E"/>
    <w:rsid w:val="003B4F42"/>
    <w:rsid w:val="003B5125"/>
    <w:rsid w:val="003C1010"/>
    <w:rsid w:val="003C1A55"/>
    <w:rsid w:val="003C4678"/>
    <w:rsid w:val="003C53A1"/>
    <w:rsid w:val="003C6251"/>
    <w:rsid w:val="003C67FC"/>
    <w:rsid w:val="003C6BD9"/>
    <w:rsid w:val="003D551D"/>
    <w:rsid w:val="003D5922"/>
    <w:rsid w:val="003D709B"/>
    <w:rsid w:val="003E1E51"/>
    <w:rsid w:val="003E3C03"/>
    <w:rsid w:val="003E784B"/>
    <w:rsid w:val="003F45B2"/>
    <w:rsid w:val="003F46A5"/>
    <w:rsid w:val="003F4C11"/>
    <w:rsid w:val="003F4CB8"/>
    <w:rsid w:val="003F65F8"/>
    <w:rsid w:val="003F72A1"/>
    <w:rsid w:val="00402428"/>
    <w:rsid w:val="004024CC"/>
    <w:rsid w:val="00404830"/>
    <w:rsid w:val="0040676F"/>
    <w:rsid w:val="00407A80"/>
    <w:rsid w:val="0041236E"/>
    <w:rsid w:val="004134DE"/>
    <w:rsid w:val="0041369E"/>
    <w:rsid w:val="0041383F"/>
    <w:rsid w:val="00414481"/>
    <w:rsid w:val="00417920"/>
    <w:rsid w:val="00422C4E"/>
    <w:rsid w:val="00423C78"/>
    <w:rsid w:val="00431681"/>
    <w:rsid w:val="00431F82"/>
    <w:rsid w:val="00433673"/>
    <w:rsid w:val="0043496E"/>
    <w:rsid w:val="00434F8E"/>
    <w:rsid w:val="00434FCB"/>
    <w:rsid w:val="00435096"/>
    <w:rsid w:val="0043541C"/>
    <w:rsid w:val="00435AA4"/>
    <w:rsid w:val="00437254"/>
    <w:rsid w:val="004446E6"/>
    <w:rsid w:val="00446BB2"/>
    <w:rsid w:val="00450DE6"/>
    <w:rsid w:val="004518EF"/>
    <w:rsid w:val="00451E78"/>
    <w:rsid w:val="00453BE6"/>
    <w:rsid w:val="004540FD"/>
    <w:rsid w:val="00454733"/>
    <w:rsid w:val="00454F30"/>
    <w:rsid w:val="00455328"/>
    <w:rsid w:val="004574F9"/>
    <w:rsid w:val="00463917"/>
    <w:rsid w:val="004678FB"/>
    <w:rsid w:val="0047241B"/>
    <w:rsid w:val="00476376"/>
    <w:rsid w:val="00477E3B"/>
    <w:rsid w:val="004866C5"/>
    <w:rsid w:val="00491C36"/>
    <w:rsid w:val="00492664"/>
    <w:rsid w:val="0049330B"/>
    <w:rsid w:val="00494223"/>
    <w:rsid w:val="0049509C"/>
    <w:rsid w:val="004953C8"/>
    <w:rsid w:val="0049650B"/>
    <w:rsid w:val="00496E22"/>
    <w:rsid w:val="00497770"/>
    <w:rsid w:val="00497814"/>
    <w:rsid w:val="004B1E84"/>
    <w:rsid w:val="004B2263"/>
    <w:rsid w:val="004C2B05"/>
    <w:rsid w:val="004C32D0"/>
    <w:rsid w:val="004C6DCF"/>
    <w:rsid w:val="004D005B"/>
    <w:rsid w:val="004D0813"/>
    <w:rsid w:val="004D24A1"/>
    <w:rsid w:val="004D3A7F"/>
    <w:rsid w:val="004D65FD"/>
    <w:rsid w:val="004D6CB3"/>
    <w:rsid w:val="004E01ED"/>
    <w:rsid w:val="004E50ED"/>
    <w:rsid w:val="004E523F"/>
    <w:rsid w:val="004E548C"/>
    <w:rsid w:val="004E567E"/>
    <w:rsid w:val="004F0A39"/>
    <w:rsid w:val="004F2A9B"/>
    <w:rsid w:val="004F34C9"/>
    <w:rsid w:val="004F3CAF"/>
    <w:rsid w:val="004F4659"/>
    <w:rsid w:val="004F47C4"/>
    <w:rsid w:val="004F5E9F"/>
    <w:rsid w:val="005001D8"/>
    <w:rsid w:val="00502815"/>
    <w:rsid w:val="00502DF4"/>
    <w:rsid w:val="00507773"/>
    <w:rsid w:val="00507920"/>
    <w:rsid w:val="00511E85"/>
    <w:rsid w:val="005120C8"/>
    <w:rsid w:val="00515FD4"/>
    <w:rsid w:val="00516149"/>
    <w:rsid w:val="005163EC"/>
    <w:rsid w:val="005209D9"/>
    <w:rsid w:val="00520AF3"/>
    <w:rsid w:val="00520D2A"/>
    <w:rsid w:val="00522CCF"/>
    <w:rsid w:val="00522D6A"/>
    <w:rsid w:val="005243F1"/>
    <w:rsid w:val="005255A9"/>
    <w:rsid w:val="00525A58"/>
    <w:rsid w:val="00525FD1"/>
    <w:rsid w:val="00526A5F"/>
    <w:rsid w:val="00533F33"/>
    <w:rsid w:val="00533F3B"/>
    <w:rsid w:val="005341C6"/>
    <w:rsid w:val="00536AFF"/>
    <w:rsid w:val="005375D5"/>
    <w:rsid w:val="00540CDA"/>
    <w:rsid w:val="00541437"/>
    <w:rsid w:val="005424EC"/>
    <w:rsid w:val="005438F3"/>
    <w:rsid w:val="00545223"/>
    <w:rsid w:val="00547A07"/>
    <w:rsid w:val="00547A68"/>
    <w:rsid w:val="0055074C"/>
    <w:rsid w:val="005524D0"/>
    <w:rsid w:val="005527A1"/>
    <w:rsid w:val="00552E34"/>
    <w:rsid w:val="00553444"/>
    <w:rsid w:val="00553AC0"/>
    <w:rsid w:val="00554391"/>
    <w:rsid w:val="005553B8"/>
    <w:rsid w:val="00557F93"/>
    <w:rsid w:val="005615EB"/>
    <w:rsid w:val="00561BFD"/>
    <w:rsid w:val="00563711"/>
    <w:rsid w:val="005643B6"/>
    <w:rsid w:val="005644C4"/>
    <w:rsid w:val="00564B9B"/>
    <w:rsid w:val="00565A53"/>
    <w:rsid w:val="005660F0"/>
    <w:rsid w:val="00566C2E"/>
    <w:rsid w:val="00567B36"/>
    <w:rsid w:val="00567CED"/>
    <w:rsid w:val="00572DC8"/>
    <w:rsid w:val="00575A9B"/>
    <w:rsid w:val="00575C34"/>
    <w:rsid w:val="0057736F"/>
    <w:rsid w:val="005804D3"/>
    <w:rsid w:val="00580B38"/>
    <w:rsid w:val="00582922"/>
    <w:rsid w:val="00584E1F"/>
    <w:rsid w:val="0058504F"/>
    <w:rsid w:val="00585059"/>
    <w:rsid w:val="00585106"/>
    <w:rsid w:val="0058529F"/>
    <w:rsid w:val="00587371"/>
    <w:rsid w:val="005903CA"/>
    <w:rsid w:val="00590B08"/>
    <w:rsid w:val="00590F19"/>
    <w:rsid w:val="00591C08"/>
    <w:rsid w:val="005937EC"/>
    <w:rsid w:val="0059389A"/>
    <w:rsid w:val="005961D2"/>
    <w:rsid w:val="00597396"/>
    <w:rsid w:val="005A4522"/>
    <w:rsid w:val="005A4C2C"/>
    <w:rsid w:val="005A6A83"/>
    <w:rsid w:val="005A744F"/>
    <w:rsid w:val="005B3EFC"/>
    <w:rsid w:val="005B40A1"/>
    <w:rsid w:val="005B4DF9"/>
    <w:rsid w:val="005B4F13"/>
    <w:rsid w:val="005B523C"/>
    <w:rsid w:val="005B5909"/>
    <w:rsid w:val="005B693B"/>
    <w:rsid w:val="005B7C7F"/>
    <w:rsid w:val="005C25E7"/>
    <w:rsid w:val="005C3AF7"/>
    <w:rsid w:val="005C5C0B"/>
    <w:rsid w:val="005C67CA"/>
    <w:rsid w:val="005C7835"/>
    <w:rsid w:val="005D3511"/>
    <w:rsid w:val="005D43F3"/>
    <w:rsid w:val="005D64EA"/>
    <w:rsid w:val="005E01C5"/>
    <w:rsid w:val="005E11CD"/>
    <w:rsid w:val="005E154F"/>
    <w:rsid w:val="005E17BD"/>
    <w:rsid w:val="005E364C"/>
    <w:rsid w:val="005E39F3"/>
    <w:rsid w:val="005E44A8"/>
    <w:rsid w:val="005E6AFF"/>
    <w:rsid w:val="005E6DD1"/>
    <w:rsid w:val="005F4F7B"/>
    <w:rsid w:val="005F645A"/>
    <w:rsid w:val="00600642"/>
    <w:rsid w:val="00601A4A"/>
    <w:rsid w:val="00601BC2"/>
    <w:rsid w:val="00603410"/>
    <w:rsid w:val="00603494"/>
    <w:rsid w:val="00605436"/>
    <w:rsid w:val="00605F4D"/>
    <w:rsid w:val="00612435"/>
    <w:rsid w:val="00617167"/>
    <w:rsid w:val="00617FA5"/>
    <w:rsid w:val="006211BD"/>
    <w:rsid w:val="006219DE"/>
    <w:rsid w:val="00621EDA"/>
    <w:rsid w:val="006223EE"/>
    <w:rsid w:val="006244EA"/>
    <w:rsid w:val="00624E75"/>
    <w:rsid w:val="00626F68"/>
    <w:rsid w:val="00627D08"/>
    <w:rsid w:val="00630114"/>
    <w:rsid w:val="0063212E"/>
    <w:rsid w:val="00635AFC"/>
    <w:rsid w:val="006379D2"/>
    <w:rsid w:val="006401EE"/>
    <w:rsid w:val="00644A4C"/>
    <w:rsid w:val="00646982"/>
    <w:rsid w:val="00650741"/>
    <w:rsid w:val="00653348"/>
    <w:rsid w:val="0065370C"/>
    <w:rsid w:val="00654062"/>
    <w:rsid w:val="00655E12"/>
    <w:rsid w:val="0065687F"/>
    <w:rsid w:val="0065757A"/>
    <w:rsid w:val="00657AEC"/>
    <w:rsid w:val="0066163B"/>
    <w:rsid w:val="00663512"/>
    <w:rsid w:val="00663FD6"/>
    <w:rsid w:val="0066581E"/>
    <w:rsid w:val="0066685D"/>
    <w:rsid w:val="00666FCB"/>
    <w:rsid w:val="006678D8"/>
    <w:rsid w:val="00667B06"/>
    <w:rsid w:val="00670FCC"/>
    <w:rsid w:val="00674052"/>
    <w:rsid w:val="00674240"/>
    <w:rsid w:val="006747FF"/>
    <w:rsid w:val="00674B05"/>
    <w:rsid w:val="00674E22"/>
    <w:rsid w:val="00674FD6"/>
    <w:rsid w:val="00675116"/>
    <w:rsid w:val="00677599"/>
    <w:rsid w:val="006814DB"/>
    <w:rsid w:val="00681B7D"/>
    <w:rsid w:val="0068331F"/>
    <w:rsid w:val="006857E0"/>
    <w:rsid w:val="006870A4"/>
    <w:rsid w:val="0068761C"/>
    <w:rsid w:val="00687BD3"/>
    <w:rsid w:val="00692255"/>
    <w:rsid w:val="006950AF"/>
    <w:rsid w:val="00696FD0"/>
    <w:rsid w:val="006971BE"/>
    <w:rsid w:val="00697543"/>
    <w:rsid w:val="006A06CE"/>
    <w:rsid w:val="006A2F14"/>
    <w:rsid w:val="006A3DB6"/>
    <w:rsid w:val="006A47D4"/>
    <w:rsid w:val="006A4BD4"/>
    <w:rsid w:val="006A5EEE"/>
    <w:rsid w:val="006A7530"/>
    <w:rsid w:val="006A7B2E"/>
    <w:rsid w:val="006B089E"/>
    <w:rsid w:val="006B11A0"/>
    <w:rsid w:val="006B138A"/>
    <w:rsid w:val="006B293D"/>
    <w:rsid w:val="006B2F6B"/>
    <w:rsid w:val="006B2FD3"/>
    <w:rsid w:val="006B3D1B"/>
    <w:rsid w:val="006B3D4A"/>
    <w:rsid w:val="006B54C2"/>
    <w:rsid w:val="006B6972"/>
    <w:rsid w:val="006C311D"/>
    <w:rsid w:val="006C3E43"/>
    <w:rsid w:val="006C42F2"/>
    <w:rsid w:val="006C4CE7"/>
    <w:rsid w:val="006C769B"/>
    <w:rsid w:val="006D54F2"/>
    <w:rsid w:val="006D6413"/>
    <w:rsid w:val="006D7756"/>
    <w:rsid w:val="006E2E88"/>
    <w:rsid w:val="006E3216"/>
    <w:rsid w:val="006E3455"/>
    <w:rsid w:val="006E5708"/>
    <w:rsid w:val="006E6DED"/>
    <w:rsid w:val="006E74B7"/>
    <w:rsid w:val="006E76B4"/>
    <w:rsid w:val="006F10C1"/>
    <w:rsid w:val="006F11A1"/>
    <w:rsid w:val="006F2AD0"/>
    <w:rsid w:val="006F32B9"/>
    <w:rsid w:val="006F39FA"/>
    <w:rsid w:val="006F3DA4"/>
    <w:rsid w:val="006F4D3C"/>
    <w:rsid w:val="006F6168"/>
    <w:rsid w:val="006F66C4"/>
    <w:rsid w:val="006F6861"/>
    <w:rsid w:val="006F77DB"/>
    <w:rsid w:val="00704AE9"/>
    <w:rsid w:val="00707292"/>
    <w:rsid w:val="00707E40"/>
    <w:rsid w:val="00710811"/>
    <w:rsid w:val="00710BDB"/>
    <w:rsid w:val="00710D07"/>
    <w:rsid w:val="00713DDA"/>
    <w:rsid w:val="00713EEB"/>
    <w:rsid w:val="00714552"/>
    <w:rsid w:val="00715644"/>
    <w:rsid w:val="00715CF8"/>
    <w:rsid w:val="00716F5B"/>
    <w:rsid w:val="007171F9"/>
    <w:rsid w:val="00717872"/>
    <w:rsid w:val="00721868"/>
    <w:rsid w:val="00722C95"/>
    <w:rsid w:val="007247B3"/>
    <w:rsid w:val="007248EB"/>
    <w:rsid w:val="00730AF6"/>
    <w:rsid w:val="0073103B"/>
    <w:rsid w:val="00732797"/>
    <w:rsid w:val="00732EF4"/>
    <w:rsid w:val="007337AD"/>
    <w:rsid w:val="00734BB9"/>
    <w:rsid w:val="00735734"/>
    <w:rsid w:val="007364C9"/>
    <w:rsid w:val="00752EEC"/>
    <w:rsid w:val="00754B77"/>
    <w:rsid w:val="007557D2"/>
    <w:rsid w:val="00755D1B"/>
    <w:rsid w:val="00756135"/>
    <w:rsid w:val="007561D9"/>
    <w:rsid w:val="0076026C"/>
    <w:rsid w:val="0076047B"/>
    <w:rsid w:val="007637EA"/>
    <w:rsid w:val="0076411C"/>
    <w:rsid w:val="007761C0"/>
    <w:rsid w:val="007763B6"/>
    <w:rsid w:val="007767CA"/>
    <w:rsid w:val="007771FD"/>
    <w:rsid w:val="00777801"/>
    <w:rsid w:val="00782527"/>
    <w:rsid w:val="007826C9"/>
    <w:rsid w:val="00783AAD"/>
    <w:rsid w:val="00784CB3"/>
    <w:rsid w:val="00785C5A"/>
    <w:rsid w:val="00790387"/>
    <w:rsid w:val="0079212C"/>
    <w:rsid w:val="00792E66"/>
    <w:rsid w:val="00793454"/>
    <w:rsid w:val="00795868"/>
    <w:rsid w:val="00795BB5"/>
    <w:rsid w:val="007965F1"/>
    <w:rsid w:val="007A18C1"/>
    <w:rsid w:val="007A1AB9"/>
    <w:rsid w:val="007A3D66"/>
    <w:rsid w:val="007A6793"/>
    <w:rsid w:val="007A7689"/>
    <w:rsid w:val="007B0C92"/>
    <w:rsid w:val="007B48AC"/>
    <w:rsid w:val="007B529F"/>
    <w:rsid w:val="007B5B89"/>
    <w:rsid w:val="007C133E"/>
    <w:rsid w:val="007C2247"/>
    <w:rsid w:val="007C4445"/>
    <w:rsid w:val="007D64BC"/>
    <w:rsid w:val="007D65BB"/>
    <w:rsid w:val="007E1FD8"/>
    <w:rsid w:val="007E2553"/>
    <w:rsid w:val="007E46B8"/>
    <w:rsid w:val="007E4A0E"/>
    <w:rsid w:val="007E57ED"/>
    <w:rsid w:val="007E5C6B"/>
    <w:rsid w:val="007E705F"/>
    <w:rsid w:val="007E78C2"/>
    <w:rsid w:val="007F06C9"/>
    <w:rsid w:val="007F1F86"/>
    <w:rsid w:val="007F268E"/>
    <w:rsid w:val="007F3E96"/>
    <w:rsid w:val="007F422B"/>
    <w:rsid w:val="007F5691"/>
    <w:rsid w:val="007F6AA4"/>
    <w:rsid w:val="00801203"/>
    <w:rsid w:val="00801546"/>
    <w:rsid w:val="00802DCA"/>
    <w:rsid w:val="008039FA"/>
    <w:rsid w:val="00803E6F"/>
    <w:rsid w:val="0080510E"/>
    <w:rsid w:val="00805328"/>
    <w:rsid w:val="008078CB"/>
    <w:rsid w:val="00807DFD"/>
    <w:rsid w:val="00807E9D"/>
    <w:rsid w:val="00812E19"/>
    <w:rsid w:val="008132B2"/>
    <w:rsid w:val="008139D3"/>
    <w:rsid w:val="00814235"/>
    <w:rsid w:val="00815496"/>
    <w:rsid w:val="00816449"/>
    <w:rsid w:val="00820F8A"/>
    <w:rsid w:val="0082598A"/>
    <w:rsid w:val="008268C9"/>
    <w:rsid w:val="0083063C"/>
    <w:rsid w:val="00833957"/>
    <w:rsid w:val="008343E3"/>
    <w:rsid w:val="00841AA7"/>
    <w:rsid w:val="008423C3"/>
    <w:rsid w:val="00843729"/>
    <w:rsid w:val="008446D8"/>
    <w:rsid w:val="0084515D"/>
    <w:rsid w:val="00847241"/>
    <w:rsid w:val="008534A3"/>
    <w:rsid w:val="00853504"/>
    <w:rsid w:val="00857691"/>
    <w:rsid w:val="00857BA8"/>
    <w:rsid w:val="00862906"/>
    <w:rsid w:val="0086370E"/>
    <w:rsid w:val="00866B3C"/>
    <w:rsid w:val="00867281"/>
    <w:rsid w:val="00867414"/>
    <w:rsid w:val="00875B49"/>
    <w:rsid w:val="00881D59"/>
    <w:rsid w:val="00881FAE"/>
    <w:rsid w:val="00885C41"/>
    <w:rsid w:val="00886C95"/>
    <w:rsid w:val="00887529"/>
    <w:rsid w:val="008877B4"/>
    <w:rsid w:val="00891180"/>
    <w:rsid w:val="008921C7"/>
    <w:rsid w:val="00893495"/>
    <w:rsid w:val="008962F1"/>
    <w:rsid w:val="008A1E84"/>
    <w:rsid w:val="008A38E6"/>
    <w:rsid w:val="008A5124"/>
    <w:rsid w:val="008A5C57"/>
    <w:rsid w:val="008B0978"/>
    <w:rsid w:val="008B1E14"/>
    <w:rsid w:val="008B4B39"/>
    <w:rsid w:val="008B504B"/>
    <w:rsid w:val="008B5ADE"/>
    <w:rsid w:val="008B6B7B"/>
    <w:rsid w:val="008C1F64"/>
    <w:rsid w:val="008C2100"/>
    <w:rsid w:val="008C50CB"/>
    <w:rsid w:val="008C6102"/>
    <w:rsid w:val="008D1BBF"/>
    <w:rsid w:val="008D3474"/>
    <w:rsid w:val="008D5197"/>
    <w:rsid w:val="008D54B9"/>
    <w:rsid w:val="008E19C7"/>
    <w:rsid w:val="008E1BED"/>
    <w:rsid w:val="008E1ED6"/>
    <w:rsid w:val="008E77E7"/>
    <w:rsid w:val="008F191C"/>
    <w:rsid w:val="008F3869"/>
    <w:rsid w:val="008F3AAE"/>
    <w:rsid w:val="008F3C27"/>
    <w:rsid w:val="008F72F9"/>
    <w:rsid w:val="009023E6"/>
    <w:rsid w:val="0090280F"/>
    <w:rsid w:val="009029E7"/>
    <w:rsid w:val="009037E2"/>
    <w:rsid w:val="00903A3F"/>
    <w:rsid w:val="009049FE"/>
    <w:rsid w:val="0090691B"/>
    <w:rsid w:val="00907672"/>
    <w:rsid w:val="00907B63"/>
    <w:rsid w:val="00907BC7"/>
    <w:rsid w:val="00907EFE"/>
    <w:rsid w:val="00910E69"/>
    <w:rsid w:val="009120F0"/>
    <w:rsid w:val="00914ECD"/>
    <w:rsid w:val="00917573"/>
    <w:rsid w:val="009218ED"/>
    <w:rsid w:val="00924824"/>
    <w:rsid w:val="0092514A"/>
    <w:rsid w:val="009273F8"/>
    <w:rsid w:val="00932857"/>
    <w:rsid w:val="009330CA"/>
    <w:rsid w:val="0093349F"/>
    <w:rsid w:val="00934525"/>
    <w:rsid w:val="00937274"/>
    <w:rsid w:val="009422D7"/>
    <w:rsid w:val="009430A8"/>
    <w:rsid w:val="0094502E"/>
    <w:rsid w:val="009452BB"/>
    <w:rsid w:val="00947D1D"/>
    <w:rsid w:val="0095061D"/>
    <w:rsid w:val="0095154F"/>
    <w:rsid w:val="00951BFF"/>
    <w:rsid w:val="00954456"/>
    <w:rsid w:val="009546C4"/>
    <w:rsid w:val="00954C7A"/>
    <w:rsid w:val="00955191"/>
    <w:rsid w:val="00955F8D"/>
    <w:rsid w:val="00956545"/>
    <w:rsid w:val="00957D04"/>
    <w:rsid w:val="00960BA3"/>
    <w:rsid w:val="00962227"/>
    <w:rsid w:val="00962B28"/>
    <w:rsid w:val="00967AA2"/>
    <w:rsid w:val="00970197"/>
    <w:rsid w:val="00971BE2"/>
    <w:rsid w:val="0097513C"/>
    <w:rsid w:val="00975F0E"/>
    <w:rsid w:val="00976D26"/>
    <w:rsid w:val="009826B4"/>
    <w:rsid w:val="00986F5E"/>
    <w:rsid w:val="0098705B"/>
    <w:rsid w:val="00992DF1"/>
    <w:rsid w:val="009931F5"/>
    <w:rsid w:val="009958AB"/>
    <w:rsid w:val="0099648D"/>
    <w:rsid w:val="009A0986"/>
    <w:rsid w:val="009A1476"/>
    <w:rsid w:val="009A51DA"/>
    <w:rsid w:val="009A6554"/>
    <w:rsid w:val="009A6B6B"/>
    <w:rsid w:val="009B5661"/>
    <w:rsid w:val="009B79E9"/>
    <w:rsid w:val="009B7EAF"/>
    <w:rsid w:val="009C21F0"/>
    <w:rsid w:val="009C3155"/>
    <w:rsid w:val="009C356A"/>
    <w:rsid w:val="009C73E1"/>
    <w:rsid w:val="009D10DB"/>
    <w:rsid w:val="009D2167"/>
    <w:rsid w:val="009D56D1"/>
    <w:rsid w:val="009E0E9C"/>
    <w:rsid w:val="009E4755"/>
    <w:rsid w:val="009E765C"/>
    <w:rsid w:val="009F1F07"/>
    <w:rsid w:val="009F3048"/>
    <w:rsid w:val="009F41F8"/>
    <w:rsid w:val="009F4DDC"/>
    <w:rsid w:val="009F4FC7"/>
    <w:rsid w:val="009F62DE"/>
    <w:rsid w:val="009F7823"/>
    <w:rsid w:val="00A01008"/>
    <w:rsid w:val="00A06244"/>
    <w:rsid w:val="00A10751"/>
    <w:rsid w:val="00A10BD5"/>
    <w:rsid w:val="00A12C68"/>
    <w:rsid w:val="00A16C8B"/>
    <w:rsid w:val="00A17CD4"/>
    <w:rsid w:val="00A20366"/>
    <w:rsid w:val="00A20DE1"/>
    <w:rsid w:val="00A21508"/>
    <w:rsid w:val="00A21BB1"/>
    <w:rsid w:val="00A334B6"/>
    <w:rsid w:val="00A33A50"/>
    <w:rsid w:val="00A35B07"/>
    <w:rsid w:val="00A36930"/>
    <w:rsid w:val="00A4075C"/>
    <w:rsid w:val="00A41174"/>
    <w:rsid w:val="00A41BAA"/>
    <w:rsid w:val="00A4271B"/>
    <w:rsid w:val="00A442F1"/>
    <w:rsid w:val="00A45DE5"/>
    <w:rsid w:val="00A468B6"/>
    <w:rsid w:val="00A4702C"/>
    <w:rsid w:val="00A5022F"/>
    <w:rsid w:val="00A5519A"/>
    <w:rsid w:val="00A555A6"/>
    <w:rsid w:val="00A5658D"/>
    <w:rsid w:val="00A615CB"/>
    <w:rsid w:val="00A62B41"/>
    <w:rsid w:val="00A63477"/>
    <w:rsid w:val="00A656E2"/>
    <w:rsid w:val="00A67676"/>
    <w:rsid w:val="00A709C7"/>
    <w:rsid w:val="00A70E40"/>
    <w:rsid w:val="00A71FF0"/>
    <w:rsid w:val="00A740FE"/>
    <w:rsid w:val="00A7514B"/>
    <w:rsid w:val="00A7522B"/>
    <w:rsid w:val="00A75668"/>
    <w:rsid w:val="00A81507"/>
    <w:rsid w:val="00A81F22"/>
    <w:rsid w:val="00A836E5"/>
    <w:rsid w:val="00A836FE"/>
    <w:rsid w:val="00A8710B"/>
    <w:rsid w:val="00A91055"/>
    <w:rsid w:val="00A91768"/>
    <w:rsid w:val="00A91A74"/>
    <w:rsid w:val="00A92428"/>
    <w:rsid w:val="00A93342"/>
    <w:rsid w:val="00A94D57"/>
    <w:rsid w:val="00A96E35"/>
    <w:rsid w:val="00A977CE"/>
    <w:rsid w:val="00AA0139"/>
    <w:rsid w:val="00AA261F"/>
    <w:rsid w:val="00AA3306"/>
    <w:rsid w:val="00AA3AE9"/>
    <w:rsid w:val="00AA5362"/>
    <w:rsid w:val="00AB2AE0"/>
    <w:rsid w:val="00AB4AB7"/>
    <w:rsid w:val="00AC0FA2"/>
    <w:rsid w:val="00AC1C3A"/>
    <w:rsid w:val="00AC316B"/>
    <w:rsid w:val="00AC4C5D"/>
    <w:rsid w:val="00AC515C"/>
    <w:rsid w:val="00AC53C8"/>
    <w:rsid w:val="00AD03CA"/>
    <w:rsid w:val="00AD03E7"/>
    <w:rsid w:val="00AD352A"/>
    <w:rsid w:val="00AD6038"/>
    <w:rsid w:val="00AD650E"/>
    <w:rsid w:val="00AD67EF"/>
    <w:rsid w:val="00AD7743"/>
    <w:rsid w:val="00AE053C"/>
    <w:rsid w:val="00AE0826"/>
    <w:rsid w:val="00AE2365"/>
    <w:rsid w:val="00AE6636"/>
    <w:rsid w:val="00AF19D6"/>
    <w:rsid w:val="00AF21D3"/>
    <w:rsid w:val="00AF365E"/>
    <w:rsid w:val="00AF3939"/>
    <w:rsid w:val="00AF43BF"/>
    <w:rsid w:val="00AF4969"/>
    <w:rsid w:val="00AF5B40"/>
    <w:rsid w:val="00AF5F69"/>
    <w:rsid w:val="00AF7F8F"/>
    <w:rsid w:val="00B01376"/>
    <w:rsid w:val="00B0195E"/>
    <w:rsid w:val="00B04D33"/>
    <w:rsid w:val="00B0508A"/>
    <w:rsid w:val="00B05FC9"/>
    <w:rsid w:val="00B07B7A"/>
    <w:rsid w:val="00B10102"/>
    <w:rsid w:val="00B11B82"/>
    <w:rsid w:val="00B12401"/>
    <w:rsid w:val="00B12E2E"/>
    <w:rsid w:val="00B13589"/>
    <w:rsid w:val="00B16854"/>
    <w:rsid w:val="00B16CAB"/>
    <w:rsid w:val="00B208FC"/>
    <w:rsid w:val="00B21029"/>
    <w:rsid w:val="00B21A9C"/>
    <w:rsid w:val="00B26795"/>
    <w:rsid w:val="00B27623"/>
    <w:rsid w:val="00B3021F"/>
    <w:rsid w:val="00B31331"/>
    <w:rsid w:val="00B31D24"/>
    <w:rsid w:val="00B34311"/>
    <w:rsid w:val="00B3431A"/>
    <w:rsid w:val="00B427F6"/>
    <w:rsid w:val="00B42CC6"/>
    <w:rsid w:val="00B43BE0"/>
    <w:rsid w:val="00B47406"/>
    <w:rsid w:val="00B5045C"/>
    <w:rsid w:val="00B50ADB"/>
    <w:rsid w:val="00B55F20"/>
    <w:rsid w:val="00B57B2D"/>
    <w:rsid w:val="00B63B23"/>
    <w:rsid w:val="00B65358"/>
    <w:rsid w:val="00B704F4"/>
    <w:rsid w:val="00B73DA5"/>
    <w:rsid w:val="00B73F25"/>
    <w:rsid w:val="00B80207"/>
    <w:rsid w:val="00B80328"/>
    <w:rsid w:val="00B8591C"/>
    <w:rsid w:val="00B85C41"/>
    <w:rsid w:val="00B877C9"/>
    <w:rsid w:val="00B87C37"/>
    <w:rsid w:val="00B9344C"/>
    <w:rsid w:val="00B93FE3"/>
    <w:rsid w:val="00B94A27"/>
    <w:rsid w:val="00BA02C9"/>
    <w:rsid w:val="00BA03A4"/>
    <w:rsid w:val="00BA08E1"/>
    <w:rsid w:val="00BA15F8"/>
    <w:rsid w:val="00BA5BC8"/>
    <w:rsid w:val="00BA6D57"/>
    <w:rsid w:val="00BA6EAC"/>
    <w:rsid w:val="00BA70C7"/>
    <w:rsid w:val="00BB1671"/>
    <w:rsid w:val="00BB3AAE"/>
    <w:rsid w:val="00BB52A7"/>
    <w:rsid w:val="00BB54F3"/>
    <w:rsid w:val="00BB60BE"/>
    <w:rsid w:val="00BB7761"/>
    <w:rsid w:val="00BB7BB9"/>
    <w:rsid w:val="00BB7BEF"/>
    <w:rsid w:val="00BC6E09"/>
    <w:rsid w:val="00BC770A"/>
    <w:rsid w:val="00BD2B36"/>
    <w:rsid w:val="00BD46DC"/>
    <w:rsid w:val="00BD63D9"/>
    <w:rsid w:val="00BD7F44"/>
    <w:rsid w:val="00BE3A1C"/>
    <w:rsid w:val="00BE4028"/>
    <w:rsid w:val="00BE50C6"/>
    <w:rsid w:val="00BE6802"/>
    <w:rsid w:val="00BE68B2"/>
    <w:rsid w:val="00BE6A7B"/>
    <w:rsid w:val="00BF309D"/>
    <w:rsid w:val="00BF4614"/>
    <w:rsid w:val="00C01FDF"/>
    <w:rsid w:val="00C02349"/>
    <w:rsid w:val="00C059C6"/>
    <w:rsid w:val="00C102F4"/>
    <w:rsid w:val="00C12FE7"/>
    <w:rsid w:val="00C14B06"/>
    <w:rsid w:val="00C14CAA"/>
    <w:rsid w:val="00C207DA"/>
    <w:rsid w:val="00C21407"/>
    <w:rsid w:val="00C26882"/>
    <w:rsid w:val="00C26B56"/>
    <w:rsid w:val="00C27720"/>
    <w:rsid w:val="00C310A9"/>
    <w:rsid w:val="00C345B5"/>
    <w:rsid w:val="00C34AC6"/>
    <w:rsid w:val="00C35073"/>
    <w:rsid w:val="00C3563A"/>
    <w:rsid w:val="00C36B96"/>
    <w:rsid w:val="00C3713E"/>
    <w:rsid w:val="00C37CA1"/>
    <w:rsid w:val="00C4007E"/>
    <w:rsid w:val="00C501FC"/>
    <w:rsid w:val="00C50ED6"/>
    <w:rsid w:val="00C52520"/>
    <w:rsid w:val="00C52C11"/>
    <w:rsid w:val="00C53B36"/>
    <w:rsid w:val="00C5454C"/>
    <w:rsid w:val="00C5472A"/>
    <w:rsid w:val="00C55235"/>
    <w:rsid w:val="00C55975"/>
    <w:rsid w:val="00C61E1D"/>
    <w:rsid w:val="00C64947"/>
    <w:rsid w:val="00C66FF7"/>
    <w:rsid w:val="00C70528"/>
    <w:rsid w:val="00C7215A"/>
    <w:rsid w:val="00C72786"/>
    <w:rsid w:val="00C72A10"/>
    <w:rsid w:val="00C736D2"/>
    <w:rsid w:val="00C77E52"/>
    <w:rsid w:val="00C80903"/>
    <w:rsid w:val="00C8647C"/>
    <w:rsid w:val="00C913FA"/>
    <w:rsid w:val="00C91828"/>
    <w:rsid w:val="00C91F66"/>
    <w:rsid w:val="00C92EFD"/>
    <w:rsid w:val="00C94EB4"/>
    <w:rsid w:val="00C94FEF"/>
    <w:rsid w:val="00CA0CDC"/>
    <w:rsid w:val="00CA3F0B"/>
    <w:rsid w:val="00CA5494"/>
    <w:rsid w:val="00CA5CFE"/>
    <w:rsid w:val="00CA641B"/>
    <w:rsid w:val="00CA6A0F"/>
    <w:rsid w:val="00CA7B42"/>
    <w:rsid w:val="00CB028B"/>
    <w:rsid w:val="00CB1482"/>
    <w:rsid w:val="00CB44E7"/>
    <w:rsid w:val="00CB6B7C"/>
    <w:rsid w:val="00CB7B1A"/>
    <w:rsid w:val="00CB7BD6"/>
    <w:rsid w:val="00CC04BF"/>
    <w:rsid w:val="00CC6824"/>
    <w:rsid w:val="00CC7FB2"/>
    <w:rsid w:val="00CD06F6"/>
    <w:rsid w:val="00CD3BAF"/>
    <w:rsid w:val="00CD445B"/>
    <w:rsid w:val="00CD44EC"/>
    <w:rsid w:val="00CD4E39"/>
    <w:rsid w:val="00CD5BA4"/>
    <w:rsid w:val="00CD667F"/>
    <w:rsid w:val="00CD673E"/>
    <w:rsid w:val="00CD7B80"/>
    <w:rsid w:val="00CE0A42"/>
    <w:rsid w:val="00CE18E8"/>
    <w:rsid w:val="00CE5F2E"/>
    <w:rsid w:val="00CE6ACD"/>
    <w:rsid w:val="00CF04CA"/>
    <w:rsid w:val="00CF20C6"/>
    <w:rsid w:val="00CF25E1"/>
    <w:rsid w:val="00CF4EC7"/>
    <w:rsid w:val="00CF50D6"/>
    <w:rsid w:val="00D03280"/>
    <w:rsid w:val="00D13A94"/>
    <w:rsid w:val="00D141A1"/>
    <w:rsid w:val="00D16ADD"/>
    <w:rsid w:val="00D177FD"/>
    <w:rsid w:val="00D20A9C"/>
    <w:rsid w:val="00D22291"/>
    <w:rsid w:val="00D23D43"/>
    <w:rsid w:val="00D25F8D"/>
    <w:rsid w:val="00D27731"/>
    <w:rsid w:val="00D333F3"/>
    <w:rsid w:val="00D33AAD"/>
    <w:rsid w:val="00D35763"/>
    <w:rsid w:val="00D402E1"/>
    <w:rsid w:val="00D4413D"/>
    <w:rsid w:val="00D4789C"/>
    <w:rsid w:val="00D53236"/>
    <w:rsid w:val="00D553CA"/>
    <w:rsid w:val="00D558E4"/>
    <w:rsid w:val="00D6028B"/>
    <w:rsid w:val="00D6105B"/>
    <w:rsid w:val="00D61FE9"/>
    <w:rsid w:val="00D627C2"/>
    <w:rsid w:val="00D72061"/>
    <w:rsid w:val="00D73C0E"/>
    <w:rsid w:val="00D754BD"/>
    <w:rsid w:val="00D75EC1"/>
    <w:rsid w:val="00D82001"/>
    <w:rsid w:val="00D831DA"/>
    <w:rsid w:val="00D83B8E"/>
    <w:rsid w:val="00D86E25"/>
    <w:rsid w:val="00D9008D"/>
    <w:rsid w:val="00D910E1"/>
    <w:rsid w:val="00D939E0"/>
    <w:rsid w:val="00D942B7"/>
    <w:rsid w:val="00D94C60"/>
    <w:rsid w:val="00D96FA4"/>
    <w:rsid w:val="00DA1051"/>
    <w:rsid w:val="00DA1343"/>
    <w:rsid w:val="00DA139A"/>
    <w:rsid w:val="00DA37BC"/>
    <w:rsid w:val="00DA385D"/>
    <w:rsid w:val="00DA3C83"/>
    <w:rsid w:val="00DA4B65"/>
    <w:rsid w:val="00DA55EA"/>
    <w:rsid w:val="00DA61D0"/>
    <w:rsid w:val="00DA6623"/>
    <w:rsid w:val="00DA770B"/>
    <w:rsid w:val="00DB1412"/>
    <w:rsid w:val="00DB449C"/>
    <w:rsid w:val="00DB76C9"/>
    <w:rsid w:val="00DC0F43"/>
    <w:rsid w:val="00DC1BBF"/>
    <w:rsid w:val="00DC1F57"/>
    <w:rsid w:val="00DC56B6"/>
    <w:rsid w:val="00DC5EDC"/>
    <w:rsid w:val="00DC7E83"/>
    <w:rsid w:val="00DD1C5A"/>
    <w:rsid w:val="00DD1DCD"/>
    <w:rsid w:val="00DD341C"/>
    <w:rsid w:val="00DD4607"/>
    <w:rsid w:val="00DD5337"/>
    <w:rsid w:val="00DD77AA"/>
    <w:rsid w:val="00DD7F98"/>
    <w:rsid w:val="00DE1F5E"/>
    <w:rsid w:val="00DE29B8"/>
    <w:rsid w:val="00DE3077"/>
    <w:rsid w:val="00DE52B2"/>
    <w:rsid w:val="00DE7150"/>
    <w:rsid w:val="00DF154B"/>
    <w:rsid w:val="00DF162A"/>
    <w:rsid w:val="00DF2384"/>
    <w:rsid w:val="00DF278D"/>
    <w:rsid w:val="00E00069"/>
    <w:rsid w:val="00E0280D"/>
    <w:rsid w:val="00E039A8"/>
    <w:rsid w:val="00E03EF1"/>
    <w:rsid w:val="00E03FE1"/>
    <w:rsid w:val="00E04C15"/>
    <w:rsid w:val="00E10240"/>
    <w:rsid w:val="00E10A9E"/>
    <w:rsid w:val="00E11BD4"/>
    <w:rsid w:val="00E12AAC"/>
    <w:rsid w:val="00E13332"/>
    <w:rsid w:val="00E1427D"/>
    <w:rsid w:val="00E14BC1"/>
    <w:rsid w:val="00E1593F"/>
    <w:rsid w:val="00E15F8C"/>
    <w:rsid w:val="00E170D6"/>
    <w:rsid w:val="00E25141"/>
    <w:rsid w:val="00E255EC"/>
    <w:rsid w:val="00E25CFF"/>
    <w:rsid w:val="00E27523"/>
    <w:rsid w:val="00E31242"/>
    <w:rsid w:val="00E31C77"/>
    <w:rsid w:val="00E3282D"/>
    <w:rsid w:val="00E33C1B"/>
    <w:rsid w:val="00E348F9"/>
    <w:rsid w:val="00E3507F"/>
    <w:rsid w:val="00E36BD0"/>
    <w:rsid w:val="00E40478"/>
    <w:rsid w:val="00E41C11"/>
    <w:rsid w:val="00E41D95"/>
    <w:rsid w:val="00E42069"/>
    <w:rsid w:val="00E44F85"/>
    <w:rsid w:val="00E46578"/>
    <w:rsid w:val="00E46657"/>
    <w:rsid w:val="00E47F31"/>
    <w:rsid w:val="00E543E5"/>
    <w:rsid w:val="00E5443A"/>
    <w:rsid w:val="00E54AAB"/>
    <w:rsid w:val="00E5518D"/>
    <w:rsid w:val="00E551CB"/>
    <w:rsid w:val="00E57941"/>
    <w:rsid w:val="00E60670"/>
    <w:rsid w:val="00E609C0"/>
    <w:rsid w:val="00E6136E"/>
    <w:rsid w:val="00E61E97"/>
    <w:rsid w:val="00E6274B"/>
    <w:rsid w:val="00E643E2"/>
    <w:rsid w:val="00E64CBF"/>
    <w:rsid w:val="00E73340"/>
    <w:rsid w:val="00E73547"/>
    <w:rsid w:val="00E741FA"/>
    <w:rsid w:val="00E747E5"/>
    <w:rsid w:val="00E74FCC"/>
    <w:rsid w:val="00E76BFF"/>
    <w:rsid w:val="00E77E9D"/>
    <w:rsid w:val="00E809C8"/>
    <w:rsid w:val="00E80D42"/>
    <w:rsid w:val="00E82396"/>
    <w:rsid w:val="00E844D4"/>
    <w:rsid w:val="00E86470"/>
    <w:rsid w:val="00E866E6"/>
    <w:rsid w:val="00E87B5E"/>
    <w:rsid w:val="00E90AC1"/>
    <w:rsid w:val="00E9292E"/>
    <w:rsid w:val="00E93328"/>
    <w:rsid w:val="00E97A85"/>
    <w:rsid w:val="00EA086C"/>
    <w:rsid w:val="00EA09AB"/>
    <w:rsid w:val="00EA5CE0"/>
    <w:rsid w:val="00EA6070"/>
    <w:rsid w:val="00EA639D"/>
    <w:rsid w:val="00EA6599"/>
    <w:rsid w:val="00EA720E"/>
    <w:rsid w:val="00EB180E"/>
    <w:rsid w:val="00EB2114"/>
    <w:rsid w:val="00EB2502"/>
    <w:rsid w:val="00EB296A"/>
    <w:rsid w:val="00EB32CC"/>
    <w:rsid w:val="00EB5BDA"/>
    <w:rsid w:val="00EB7C5B"/>
    <w:rsid w:val="00EB7D20"/>
    <w:rsid w:val="00EC0F4C"/>
    <w:rsid w:val="00EC2EDA"/>
    <w:rsid w:val="00EC40B4"/>
    <w:rsid w:val="00EC4EC8"/>
    <w:rsid w:val="00EC5E53"/>
    <w:rsid w:val="00EC7198"/>
    <w:rsid w:val="00ED14EC"/>
    <w:rsid w:val="00ED19CF"/>
    <w:rsid w:val="00ED33A4"/>
    <w:rsid w:val="00ED799F"/>
    <w:rsid w:val="00ED7C2A"/>
    <w:rsid w:val="00EE078D"/>
    <w:rsid w:val="00EE1CEA"/>
    <w:rsid w:val="00EE4568"/>
    <w:rsid w:val="00EE560F"/>
    <w:rsid w:val="00EE58B3"/>
    <w:rsid w:val="00EF0479"/>
    <w:rsid w:val="00EF4BA6"/>
    <w:rsid w:val="00EF53F0"/>
    <w:rsid w:val="00EF580F"/>
    <w:rsid w:val="00EF7B80"/>
    <w:rsid w:val="00F008A3"/>
    <w:rsid w:val="00F01941"/>
    <w:rsid w:val="00F01ACC"/>
    <w:rsid w:val="00F01DA1"/>
    <w:rsid w:val="00F0223D"/>
    <w:rsid w:val="00F06E27"/>
    <w:rsid w:val="00F07C00"/>
    <w:rsid w:val="00F123EF"/>
    <w:rsid w:val="00F13CAC"/>
    <w:rsid w:val="00F140BC"/>
    <w:rsid w:val="00F144FD"/>
    <w:rsid w:val="00F15B78"/>
    <w:rsid w:val="00F16F1A"/>
    <w:rsid w:val="00F177E7"/>
    <w:rsid w:val="00F17FB0"/>
    <w:rsid w:val="00F21237"/>
    <w:rsid w:val="00F21697"/>
    <w:rsid w:val="00F23672"/>
    <w:rsid w:val="00F23882"/>
    <w:rsid w:val="00F247B2"/>
    <w:rsid w:val="00F25581"/>
    <w:rsid w:val="00F25BCA"/>
    <w:rsid w:val="00F263B9"/>
    <w:rsid w:val="00F27C4B"/>
    <w:rsid w:val="00F27DAB"/>
    <w:rsid w:val="00F3333C"/>
    <w:rsid w:val="00F370BC"/>
    <w:rsid w:val="00F41F04"/>
    <w:rsid w:val="00F42C4F"/>
    <w:rsid w:val="00F4480D"/>
    <w:rsid w:val="00F46BEA"/>
    <w:rsid w:val="00F53226"/>
    <w:rsid w:val="00F5354A"/>
    <w:rsid w:val="00F55DD9"/>
    <w:rsid w:val="00F60862"/>
    <w:rsid w:val="00F62810"/>
    <w:rsid w:val="00F66583"/>
    <w:rsid w:val="00F66973"/>
    <w:rsid w:val="00F669E4"/>
    <w:rsid w:val="00F67ECE"/>
    <w:rsid w:val="00F67FE3"/>
    <w:rsid w:val="00F70511"/>
    <w:rsid w:val="00F70A48"/>
    <w:rsid w:val="00F70E28"/>
    <w:rsid w:val="00F710FD"/>
    <w:rsid w:val="00F729F4"/>
    <w:rsid w:val="00F74C30"/>
    <w:rsid w:val="00F77C81"/>
    <w:rsid w:val="00F82E6E"/>
    <w:rsid w:val="00F83860"/>
    <w:rsid w:val="00F8650C"/>
    <w:rsid w:val="00F8794C"/>
    <w:rsid w:val="00F90D6B"/>
    <w:rsid w:val="00F90E83"/>
    <w:rsid w:val="00F92EF0"/>
    <w:rsid w:val="00F93152"/>
    <w:rsid w:val="00F9449B"/>
    <w:rsid w:val="00F9488B"/>
    <w:rsid w:val="00F94B6E"/>
    <w:rsid w:val="00F96A9A"/>
    <w:rsid w:val="00FA1B9C"/>
    <w:rsid w:val="00FA1BED"/>
    <w:rsid w:val="00FA3ECC"/>
    <w:rsid w:val="00FA43BA"/>
    <w:rsid w:val="00FA4719"/>
    <w:rsid w:val="00FA6B90"/>
    <w:rsid w:val="00FB1068"/>
    <w:rsid w:val="00FB16E9"/>
    <w:rsid w:val="00FB1FAB"/>
    <w:rsid w:val="00FB26C9"/>
    <w:rsid w:val="00FB2843"/>
    <w:rsid w:val="00FB2C56"/>
    <w:rsid w:val="00FB37C6"/>
    <w:rsid w:val="00FB6714"/>
    <w:rsid w:val="00FB748D"/>
    <w:rsid w:val="00FC15D0"/>
    <w:rsid w:val="00FC178F"/>
    <w:rsid w:val="00FC3C0F"/>
    <w:rsid w:val="00FC4983"/>
    <w:rsid w:val="00FC7A2B"/>
    <w:rsid w:val="00FC7EBC"/>
    <w:rsid w:val="00FD0D1B"/>
    <w:rsid w:val="00FD328D"/>
    <w:rsid w:val="00FD435E"/>
    <w:rsid w:val="00FD4A97"/>
    <w:rsid w:val="00FD5E09"/>
    <w:rsid w:val="00FD7BD7"/>
    <w:rsid w:val="00FE0422"/>
    <w:rsid w:val="00FE3498"/>
    <w:rsid w:val="00FE49FA"/>
    <w:rsid w:val="00FE520D"/>
    <w:rsid w:val="00FE6BA3"/>
    <w:rsid w:val="00FF3E92"/>
    <w:rsid w:val="00FF6710"/>
    <w:rsid w:val="00FF6CCD"/>
    <w:rsid w:val="00FF75A7"/>
    <w:rsid w:val="00FF7820"/>
    <w:rsid w:val="00FF7A1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EA956"/>
  <w15:docId w15:val="{27C9F386-616E-4D3C-9D42-41BB7D60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R" w:eastAsia="es-P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urier" w:hAnsi="Courier"/>
      <w:b/>
      <w:szCs w:val="20"/>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urier" w:hAnsi="Courier"/>
      <w:szCs w:val="20"/>
      <w:lang w:val="es-MX"/>
    </w:rPr>
  </w:style>
  <w:style w:type="paragraph" w:styleId="Header">
    <w:name w:val="header"/>
    <w:basedOn w:val="Normal"/>
    <w:pPr>
      <w:tabs>
        <w:tab w:val="center" w:pos="4252"/>
        <w:tab w:val="right" w:pos="8504"/>
      </w:tabs>
    </w:pPr>
    <w:rPr>
      <w:rFonts w:ascii="Courier" w:hAnsi="Courier"/>
      <w:szCs w:val="20"/>
      <w:lang w:val="es-ES"/>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spacing w:line="480" w:lineRule="auto"/>
      <w:ind w:firstLine="720"/>
      <w:jc w:val="both"/>
    </w:pPr>
    <w:rPr>
      <w:rFonts w:ascii="Bookman Old Style" w:hAnsi="Bookman Old Style"/>
      <w:lang w:val="es-ES"/>
    </w:rPr>
  </w:style>
  <w:style w:type="paragraph" w:styleId="BlockText">
    <w:name w:val="Block Text"/>
    <w:basedOn w:val="Normal"/>
    <w:pPr>
      <w:spacing w:before="100" w:beforeAutospacing="1" w:after="100" w:afterAutospacing="1"/>
      <w:ind w:left="720" w:right="720"/>
      <w:jc w:val="both"/>
    </w:pPr>
    <w:rPr>
      <w:rFonts w:ascii="Bookman Old Style" w:hAnsi="Bookman Old Style"/>
      <w:lang w:val="es-MX"/>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paragraph" w:customStyle="1" w:styleId="std">
    <w:name w:val="std"/>
    <w:basedOn w:val="Normal"/>
    <w:rsid w:val="007C133E"/>
    <w:rPr>
      <w:rFonts w:ascii="Arial Unicode MS" w:eastAsia="Arial Unicode MS" w:hAnsi="Arial Unicode MS" w:cs="Arial Unicode MS"/>
      <w:lang w:val="en-US"/>
    </w:rPr>
  </w:style>
  <w:style w:type="paragraph" w:styleId="NormalWeb">
    <w:name w:val="Normal (Web)"/>
    <w:basedOn w:val="Normal"/>
    <w:rsid w:val="00EB5BDA"/>
    <w:pPr>
      <w:spacing w:before="100" w:beforeAutospacing="1" w:after="100" w:afterAutospacing="1"/>
    </w:pPr>
    <w:rPr>
      <w:lang w:val="en-US"/>
    </w:rPr>
  </w:style>
  <w:style w:type="paragraph" w:customStyle="1" w:styleId="Artculo">
    <w:name w:val="Artículo"/>
    <w:basedOn w:val="BodyTextIndent2"/>
    <w:autoRedefine/>
    <w:rsid w:val="00EB5BDA"/>
    <w:pPr>
      <w:spacing w:after="0" w:line="240" w:lineRule="auto"/>
      <w:ind w:left="0" w:right="36"/>
    </w:pPr>
    <w:rPr>
      <w:b/>
      <w:bCs/>
      <w:lang w:val="es-ES_tradnl"/>
    </w:rPr>
  </w:style>
  <w:style w:type="paragraph" w:styleId="BodyTextIndent2">
    <w:name w:val="Body Text Indent 2"/>
    <w:basedOn w:val="Normal"/>
    <w:rsid w:val="00EB5BDA"/>
    <w:pPr>
      <w:spacing w:after="120" w:line="480" w:lineRule="auto"/>
      <w:ind w:left="360"/>
    </w:pPr>
  </w:style>
  <w:style w:type="character" w:styleId="Hyperlink">
    <w:name w:val="Hyperlink"/>
    <w:rsid w:val="00A91055"/>
    <w:rPr>
      <w:color w:val="0000FF"/>
      <w:u w:val="single"/>
    </w:rPr>
  </w:style>
  <w:style w:type="paragraph" w:styleId="BodyTextIndent3">
    <w:name w:val="Body Text Indent 3"/>
    <w:basedOn w:val="Normal"/>
    <w:rsid w:val="009B5661"/>
    <w:pPr>
      <w:spacing w:after="120"/>
      <w:ind w:left="360"/>
    </w:pPr>
    <w:rPr>
      <w:sz w:val="16"/>
      <w:szCs w:val="16"/>
    </w:rPr>
  </w:style>
  <w:style w:type="paragraph" w:styleId="BalloonText">
    <w:name w:val="Balloon Text"/>
    <w:basedOn w:val="Normal"/>
    <w:semiHidden/>
    <w:rsid w:val="00EF580F"/>
    <w:rPr>
      <w:rFonts w:ascii="Tahoma" w:hAnsi="Tahoma" w:cs="Tahoma"/>
      <w:sz w:val="16"/>
      <w:szCs w:val="16"/>
    </w:rPr>
  </w:style>
  <w:style w:type="paragraph" w:styleId="NoSpacing">
    <w:name w:val="No Spacing"/>
    <w:uiPriority w:val="1"/>
    <w:qFormat/>
    <w:rsid w:val="00E348F9"/>
    <w:rPr>
      <w:rFonts w:ascii="Calibri" w:eastAsia="Calibri" w:hAnsi="Calibri"/>
      <w:sz w:val="22"/>
      <w:szCs w:val="22"/>
      <w:lang w:eastAsia="en-US"/>
    </w:rPr>
  </w:style>
  <w:style w:type="paragraph" w:styleId="ListParagraph">
    <w:name w:val="List Paragraph"/>
    <w:basedOn w:val="Normal"/>
    <w:uiPriority w:val="34"/>
    <w:qFormat/>
    <w:rsid w:val="00E348F9"/>
    <w:pPr>
      <w:spacing w:after="200" w:line="276" w:lineRule="auto"/>
      <w:ind w:left="720"/>
      <w:contextualSpacing/>
    </w:pPr>
    <w:rPr>
      <w:rFonts w:ascii="Calibri" w:eastAsia="Calibri" w:hAnsi="Calibri"/>
      <w:sz w:val="22"/>
      <w:szCs w:val="22"/>
    </w:rPr>
  </w:style>
  <w:style w:type="paragraph" w:customStyle="1" w:styleId="Pagina">
    <w:name w:val="Pagina"/>
    <w:rsid w:val="0063212E"/>
    <w:pPr>
      <w:widowControl w:val="0"/>
      <w:autoSpaceDE w:val="0"/>
      <w:autoSpaceDN w:val="0"/>
      <w:adjustRightInd w:val="0"/>
    </w:pPr>
    <w:rPr>
      <w:sz w:val="24"/>
      <w:szCs w:val="24"/>
      <w:lang w:val="en-US" w:eastAsia="en-US"/>
    </w:rPr>
  </w:style>
  <w:style w:type="character" w:styleId="EndnoteReference">
    <w:name w:val="endnote reference"/>
    <w:semiHidden/>
    <w:unhideWhenUsed/>
    <w:rsid w:val="0063212E"/>
    <w:rPr>
      <w:position w:val="10"/>
    </w:rPr>
  </w:style>
  <w:style w:type="character" w:customStyle="1" w:styleId="FootnoteTextChar">
    <w:name w:val="Footnote Text Char"/>
    <w:link w:val="FootnoteText"/>
    <w:uiPriority w:val="99"/>
    <w:rsid w:val="00EC2ED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809">
      <w:bodyDiv w:val="1"/>
      <w:marLeft w:val="0"/>
      <w:marRight w:val="0"/>
      <w:marTop w:val="0"/>
      <w:marBottom w:val="0"/>
      <w:divBdr>
        <w:top w:val="none" w:sz="0" w:space="0" w:color="auto"/>
        <w:left w:val="none" w:sz="0" w:space="0" w:color="auto"/>
        <w:bottom w:val="none" w:sz="0" w:space="0" w:color="auto"/>
        <w:right w:val="none" w:sz="0" w:space="0" w:color="auto"/>
      </w:divBdr>
    </w:div>
    <w:div w:id="167213843">
      <w:bodyDiv w:val="1"/>
      <w:marLeft w:val="0"/>
      <w:marRight w:val="0"/>
      <w:marTop w:val="0"/>
      <w:marBottom w:val="0"/>
      <w:divBdr>
        <w:top w:val="none" w:sz="0" w:space="0" w:color="auto"/>
        <w:left w:val="none" w:sz="0" w:space="0" w:color="auto"/>
        <w:bottom w:val="none" w:sz="0" w:space="0" w:color="auto"/>
        <w:right w:val="none" w:sz="0" w:space="0" w:color="auto"/>
      </w:divBdr>
    </w:div>
    <w:div w:id="183443003">
      <w:bodyDiv w:val="1"/>
      <w:marLeft w:val="0"/>
      <w:marRight w:val="0"/>
      <w:marTop w:val="0"/>
      <w:marBottom w:val="0"/>
      <w:divBdr>
        <w:top w:val="none" w:sz="0" w:space="0" w:color="auto"/>
        <w:left w:val="none" w:sz="0" w:space="0" w:color="auto"/>
        <w:bottom w:val="none" w:sz="0" w:space="0" w:color="auto"/>
        <w:right w:val="none" w:sz="0" w:space="0" w:color="auto"/>
      </w:divBdr>
    </w:div>
    <w:div w:id="231894740">
      <w:bodyDiv w:val="1"/>
      <w:marLeft w:val="0"/>
      <w:marRight w:val="0"/>
      <w:marTop w:val="0"/>
      <w:marBottom w:val="0"/>
      <w:divBdr>
        <w:top w:val="none" w:sz="0" w:space="0" w:color="auto"/>
        <w:left w:val="none" w:sz="0" w:space="0" w:color="auto"/>
        <w:bottom w:val="none" w:sz="0" w:space="0" w:color="auto"/>
        <w:right w:val="none" w:sz="0" w:space="0" w:color="auto"/>
      </w:divBdr>
    </w:div>
    <w:div w:id="285085593">
      <w:bodyDiv w:val="1"/>
      <w:marLeft w:val="0"/>
      <w:marRight w:val="0"/>
      <w:marTop w:val="0"/>
      <w:marBottom w:val="0"/>
      <w:divBdr>
        <w:top w:val="none" w:sz="0" w:space="0" w:color="auto"/>
        <w:left w:val="none" w:sz="0" w:space="0" w:color="auto"/>
        <w:bottom w:val="none" w:sz="0" w:space="0" w:color="auto"/>
        <w:right w:val="none" w:sz="0" w:space="0" w:color="auto"/>
      </w:divBdr>
    </w:div>
    <w:div w:id="303431997">
      <w:bodyDiv w:val="1"/>
      <w:marLeft w:val="0"/>
      <w:marRight w:val="0"/>
      <w:marTop w:val="0"/>
      <w:marBottom w:val="0"/>
      <w:divBdr>
        <w:top w:val="none" w:sz="0" w:space="0" w:color="auto"/>
        <w:left w:val="none" w:sz="0" w:space="0" w:color="auto"/>
        <w:bottom w:val="none" w:sz="0" w:space="0" w:color="auto"/>
        <w:right w:val="none" w:sz="0" w:space="0" w:color="auto"/>
      </w:divBdr>
    </w:div>
    <w:div w:id="326594889">
      <w:bodyDiv w:val="1"/>
      <w:marLeft w:val="0"/>
      <w:marRight w:val="0"/>
      <w:marTop w:val="0"/>
      <w:marBottom w:val="0"/>
      <w:divBdr>
        <w:top w:val="none" w:sz="0" w:space="0" w:color="auto"/>
        <w:left w:val="none" w:sz="0" w:space="0" w:color="auto"/>
        <w:bottom w:val="none" w:sz="0" w:space="0" w:color="auto"/>
        <w:right w:val="none" w:sz="0" w:space="0" w:color="auto"/>
      </w:divBdr>
    </w:div>
    <w:div w:id="348720717">
      <w:bodyDiv w:val="1"/>
      <w:marLeft w:val="0"/>
      <w:marRight w:val="0"/>
      <w:marTop w:val="0"/>
      <w:marBottom w:val="0"/>
      <w:divBdr>
        <w:top w:val="none" w:sz="0" w:space="0" w:color="auto"/>
        <w:left w:val="none" w:sz="0" w:space="0" w:color="auto"/>
        <w:bottom w:val="none" w:sz="0" w:space="0" w:color="auto"/>
        <w:right w:val="none" w:sz="0" w:space="0" w:color="auto"/>
      </w:divBdr>
    </w:div>
    <w:div w:id="369691885">
      <w:bodyDiv w:val="1"/>
      <w:marLeft w:val="0"/>
      <w:marRight w:val="0"/>
      <w:marTop w:val="0"/>
      <w:marBottom w:val="0"/>
      <w:divBdr>
        <w:top w:val="none" w:sz="0" w:space="0" w:color="auto"/>
        <w:left w:val="none" w:sz="0" w:space="0" w:color="auto"/>
        <w:bottom w:val="none" w:sz="0" w:space="0" w:color="auto"/>
        <w:right w:val="none" w:sz="0" w:space="0" w:color="auto"/>
      </w:divBdr>
    </w:div>
    <w:div w:id="389691448">
      <w:bodyDiv w:val="1"/>
      <w:marLeft w:val="0"/>
      <w:marRight w:val="0"/>
      <w:marTop w:val="0"/>
      <w:marBottom w:val="0"/>
      <w:divBdr>
        <w:top w:val="none" w:sz="0" w:space="0" w:color="auto"/>
        <w:left w:val="none" w:sz="0" w:space="0" w:color="auto"/>
        <w:bottom w:val="none" w:sz="0" w:space="0" w:color="auto"/>
        <w:right w:val="none" w:sz="0" w:space="0" w:color="auto"/>
      </w:divBdr>
    </w:div>
    <w:div w:id="392974781">
      <w:bodyDiv w:val="1"/>
      <w:marLeft w:val="0"/>
      <w:marRight w:val="0"/>
      <w:marTop w:val="0"/>
      <w:marBottom w:val="0"/>
      <w:divBdr>
        <w:top w:val="none" w:sz="0" w:space="0" w:color="auto"/>
        <w:left w:val="none" w:sz="0" w:space="0" w:color="auto"/>
        <w:bottom w:val="none" w:sz="0" w:space="0" w:color="auto"/>
        <w:right w:val="none" w:sz="0" w:space="0" w:color="auto"/>
      </w:divBdr>
    </w:div>
    <w:div w:id="421608695">
      <w:bodyDiv w:val="1"/>
      <w:marLeft w:val="0"/>
      <w:marRight w:val="0"/>
      <w:marTop w:val="0"/>
      <w:marBottom w:val="0"/>
      <w:divBdr>
        <w:top w:val="none" w:sz="0" w:space="0" w:color="auto"/>
        <w:left w:val="none" w:sz="0" w:space="0" w:color="auto"/>
        <w:bottom w:val="none" w:sz="0" w:space="0" w:color="auto"/>
        <w:right w:val="none" w:sz="0" w:space="0" w:color="auto"/>
      </w:divBdr>
    </w:div>
    <w:div w:id="442111816">
      <w:bodyDiv w:val="1"/>
      <w:marLeft w:val="0"/>
      <w:marRight w:val="0"/>
      <w:marTop w:val="0"/>
      <w:marBottom w:val="0"/>
      <w:divBdr>
        <w:top w:val="none" w:sz="0" w:space="0" w:color="auto"/>
        <w:left w:val="none" w:sz="0" w:space="0" w:color="auto"/>
        <w:bottom w:val="none" w:sz="0" w:space="0" w:color="auto"/>
        <w:right w:val="none" w:sz="0" w:space="0" w:color="auto"/>
      </w:divBdr>
    </w:div>
    <w:div w:id="446512218">
      <w:bodyDiv w:val="1"/>
      <w:marLeft w:val="0"/>
      <w:marRight w:val="0"/>
      <w:marTop w:val="0"/>
      <w:marBottom w:val="0"/>
      <w:divBdr>
        <w:top w:val="none" w:sz="0" w:space="0" w:color="auto"/>
        <w:left w:val="none" w:sz="0" w:space="0" w:color="auto"/>
        <w:bottom w:val="none" w:sz="0" w:space="0" w:color="auto"/>
        <w:right w:val="none" w:sz="0" w:space="0" w:color="auto"/>
      </w:divBdr>
    </w:div>
    <w:div w:id="510754705">
      <w:bodyDiv w:val="1"/>
      <w:marLeft w:val="0"/>
      <w:marRight w:val="0"/>
      <w:marTop w:val="0"/>
      <w:marBottom w:val="0"/>
      <w:divBdr>
        <w:top w:val="none" w:sz="0" w:space="0" w:color="auto"/>
        <w:left w:val="none" w:sz="0" w:space="0" w:color="auto"/>
        <w:bottom w:val="none" w:sz="0" w:space="0" w:color="auto"/>
        <w:right w:val="none" w:sz="0" w:space="0" w:color="auto"/>
      </w:divBdr>
    </w:div>
    <w:div w:id="524488333">
      <w:bodyDiv w:val="1"/>
      <w:marLeft w:val="0"/>
      <w:marRight w:val="0"/>
      <w:marTop w:val="0"/>
      <w:marBottom w:val="0"/>
      <w:divBdr>
        <w:top w:val="none" w:sz="0" w:space="0" w:color="auto"/>
        <w:left w:val="none" w:sz="0" w:space="0" w:color="auto"/>
        <w:bottom w:val="none" w:sz="0" w:space="0" w:color="auto"/>
        <w:right w:val="none" w:sz="0" w:space="0" w:color="auto"/>
      </w:divBdr>
    </w:div>
    <w:div w:id="587886756">
      <w:bodyDiv w:val="1"/>
      <w:marLeft w:val="0"/>
      <w:marRight w:val="0"/>
      <w:marTop w:val="0"/>
      <w:marBottom w:val="0"/>
      <w:divBdr>
        <w:top w:val="none" w:sz="0" w:space="0" w:color="auto"/>
        <w:left w:val="none" w:sz="0" w:space="0" w:color="auto"/>
        <w:bottom w:val="none" w:sz="0" w:space="0" w:color="auto"/>
        <w:right w:val="none" w:sz="0" w:space="0" w:color="auto"/>
      </w:divBdr>
    </w:div>
    <w:div w:id="649093653">
      <w:bodyDiv w:val="1"/>
      <w:marLeft w:val="0"/>
      <w:marRight w:val="0"/>
      <w:marTop w:val="0"/>
      <w:marBottom w:val="0"/>
      <w:divBdr>
        <w:top w:val="none" w:sz="0" w:space="0" w:color="auto"/>
        <w:left w:val="none" w:sz="0" w:space="0" w:color="auto"/>
        <w:bottom w:val="none" w:sz="0" w:space="0" w:color="auto"/>
        <w:right w:val="none" w:sz="0" w:space="0" w:color="auto"/>
      </w:divBdr>
    </w:div>
    <w:div w:id="747850802">
      <w:bodyDiv w:val="1"/>
      <w:marLeft w:val="0"/>
      <w:marRight w:val="0"/>
      <w:marTop w:val="0"/>
      <w:marBottom w:val="0"/>
      <w:divBdr>
        <w:top w:val="none" w:sz="0" w:space="0" w:color="auto"/>
        <w:left w:val="none" w:sz="0" w:space="0" w:color="auto"/>
        <w:bottom w:val="none" w:sz="0" w:space="0" w:color="auto"/>
        <w:right w:val="none" w:sz="0" w:space="0" w:color="auto"/>
      </w:divBdr>
    </w:div>
    <w:div w:id="835808151">
      <w:bodyDiv w:val="1"/>
      <w:marLeft w:val="0"/>
      <w:marRight w:val="0"/>
      <w:marTop w:val="0"/>
      <w:marBottom w:val="0"/>
      <w:divBdr>
        <w:top w:val="none" w:sz="0" w:space="0" w:color="auto"/>
        <w:left w:val="none" w:sz="0" w:space="0" w:color="auto"/>
        <w:bottom w:val="none" w:sz="0" w:space="0" w:color="auto"/>
        <w:right w:val="none" w:sz="0" w:space="0" w:color="auto"/>
      </w:divBdr>
    </w:div>
    <w:div w:id="918294100">
      <w:bodyDiv w:val="1"/>
      <w:marLeft w:val="0"/>
      <w:marRight w:val="0"/>
      <w:marTop w:val="0"/>
      <w:marBottom w:val="0"/>
      <w:divBdr>
        <w:top w:val="none" w:sz="0" w:space="0" w:color="auto"/>
        <w:left w:val="none" w:sz="0" w:space="0" w:color="auto"/>
        <w:bottom w:val="none" w:sz="0" w:space="0" w:color="auto"/>
        <w:right w:val="none" w:sz="0" w:space="0" w:color="auto"/>
      </w:divBdr>
    </w:div>
    <w:div w:id="1054817124">
      <w:bodyDiv w:val="1"/>
      <w:marLeft w:val="0"/>
      <w:marRight w:val="0"/>
      <w:marTop w:val="0"/>
      <w:marBottom w:val="0"/>
      <w:divBdr>
        <w:top w:val="none" w:sz="0" w:space="0" w:color="auto"/>
        <w:left w:val="none" w:sz="0" w:space="0" w:color="auto"/>
        <w:bottom w:val="none" w:sz="0" w:space="0" w:color="auto"/>
        <w:right w:val="none" w:sz="0" w:space="0" w:color="auto"/>
      </w:divBdr>
    </w:div>
    <w:div w:id="1055278097">
      <w:bodyDiv w:val="1"/>
      <w:marLeft w:val="0"/>
      <w:marRight w:val="0"/>
      <w:marTop w:val="0"/>
      <w:marBottom w:val="0"/>
      <w:divBdr>
        <w:top w:val="none" w:sz="0" w:space="0" w:color="auto"/>
        <w:left w:val="none" w:sz="0" w:space="0" w:color="auto"/>
        <w:bottom w:val="none" w:sz="0" w:space="0" w:color="auto"/>
        <w:right w:val="none" w:sz="0" w:space="0" w:color="auto"/>
      </w:divBdr>
    </w:div>
    <w:div w:id="1105273524">
      <w:bodyDiv w:val="1"/>
      <w:marLeft w:val="0"/>
      <w:marRight w:val="0"/>
      <w:marTop w:val="0"/>
      <w:marBottom w:val="0"/>
      <w:divBdr>
        <w:top w:val="none" w:sz="0" w:space="0" w:color="auto"/>
        <w:left w:val="none" w:sz="0" w:space="0" w:color="auto"/>
        <w:bottom w:val="none" w:sz="0" w:space="0" w:color="auto"/>
        <w:right w:val="none" w:sz="0" w:space="0" w:color="auto"/>
      </w:divBdr>
    </w:div>
    <w:div w:id="1123691979">
      <w:bodyDiv w:val="1"/>
      <w:marLeft w:val="0"/>
      <w:marRight w:val="0"/>
      <w:marTop w:val="0"/>
      <w:marBottom w:val="0"/>
      <w:divBdr>
        <w:top w:val="none" w:sz="0" w:space="0" w:color="auto"/>
        <w:left w:val="none" w:sz="0" w:space="0" w:color="auto"/>
        <w:bottom w:val="none" w:sz="0" w:space="0" w:color="auto"/>
        <w:right w:val="none" w:sz="0" w:space="0" w:color="auto"/>
      </w:divBdr>
    </w:div>
    <w:div w:id="1278021443">
      <w:bodyDiv w:val="1"/>
      <w:marLeft w:val="0"/>
      <w:marRight w:val="0"/>
      <w:marTop w:val="0"/>
      <w:marBottom w:val="0"/>
      <w:divBdr>
        <w:top w:val="none" w:sz="0" w:space="0" w:color="auto"/>
        <w:left w:val="none" w:sz="0" w:space="0" w:color="auto"/>
        <w:bottom w:val="none" w:sz="0" w:space="0" w:color="auto"/>
        <w:right w:val="none" w:sz="0" w:space="0" w:color="auto"/>
      </w:divBdr>
    </w:div>
    <w:div w:id="1311406074">
      <w:bodyDiv w:val="1"/>
      <w:marLeft w:val="0"/>
      <w:marRight w:val="0"/>
      <w:marTop w:val="0"/>
      <w:marBottom w:val="0"/>
      <w:divBdr>
        <w:top w:val="none" w:sz="0" w:space="0" w:color="auto"/>
        <w:left w:val="none" w:sz="0" w:space="0" w:color="auto"/>
        <w:bottom w:val="none" w:sz="0" w:space="0" w:color="auto"/>
        <w:right w:val="none" w:sz="0" w:space="0" w:color="auto"/>
      </w:divBdr>
    </w:div>
    <w:div w:id="1358233764">
      <w:bodyDiv w:val="1"/>
      <w:marLeft w:val="0"/>
      <w:marRight w:val="0"/>
      <w:marTop w:val="0"/>
      <w:marBottom w:val="0"/>
      <w:divBdr>
        <w:top w:val="none" w:sz="0" w:space="0" w:color="auto"/>
        <w:left w:val="none" w:sz="0" w:space="0" w:color="auto"/>
        <w:bottom w:val="none" w:sz="0" w:space="0" w:color="auto"/>
        <w:right w:val="none" w:sz="0" w:space="0" w:color="auto"/>
      </w:divBdr>
    </w:div>
    <w:div w:id="1367409250">
      <w:bodyDiv w:val="1"/>
      <w:marLeft w:val="0"/>
      <w:marRight w:val="0"/>
      <w:marTop w:val="0"/>
      <w:marBottom w:val="0"/>
      <w:divBdr>
        <w:top w:val="none" w:sz="0" w:space="0" w:color="auto"/>
        <w:left w:val="none" w:sz="0" w:space="0" w:color="auto"/>
        <w:bottom w:val="none" w:sz="0" w:space="0" w:color="auto"/>
        <w:right w:val="none" w:sz="0" w:space="0" w:color="auto"/>
      </w:divBdr>
    </w:div>
    <w:div w:id="1372462280">
      <w:bodyDiv w:val="1"/>
      <w:marLeft w:val="0"/>
      <w:marRight w:val="0"/>
      <w:marTop w:val="0"/>
      <w:marBottom w:val="0"/>
      <w:divBdr>
        <w:top w:val="none" w:sz="0" w:space="0" w:color="auto"/>
        <w:left w:val="none" w:sz="0" w:space="0" w:color="auto"/>
        <w:bottom w:val="none" w:sz="0" w:space="0" w:color="auto"/>
        <w:right w:val="none" w:sz="0" w:space="0" w:color="auto"/>
      </w:divBdr>
    </w:div>
    <w:div w:id="1425497155">
      <w:bodyDiv w:val="1"/>
      <w:marLeft w:val="0"/>
      <w:marRight w:val="0"/>
      <w:marTop w:val="0"/>
      <w:marBottom w:val="0"/>
      <w:divBdr>
        <w:top w:val="none" w:sz="0" w:space="0" w:color="auto"/>
        <w:left w:val="none" w:sz="0" w:space="0" w:color="auto"/>
        <w:bottom w:val="none" w:sz="0" w:space="0" w:color="auto"/>
        <w:right w:val="none" w:sz="0" w:space="0" w:color="auto"/>
      </w:divBdr>
    </w:div>
    <w:div w:id="1428690584">
      <w:bodyDiv w:val="1"/>
      <w:marLeft w:val="0"/>
      <w:marRight w:val="0"/>
      <w:marTop w:val="0"/>
      <w:marBottom w:val="0"/>
      <w:divBdr>
        <w:top w:val="none" w:sz="0" w:space="0" w:color="auto"/>
        <w:left w:val="none" w:sz="0" w:space="0" w:color="auto"/>
        <w:bottom w:val="none" w:sz="0" w:space="0" w:color="auto"/>
        <w:right w:val="none" w:sz="0" w:space="0" w:color="auto"/>
      </w:divBdr>
    </w:div>
    <w:div w:id="1440024094">
      <w:bodyDiv w:val="1"/>
      <w:marLeft w:val="0"/>
      <w:marRight w:val="0"/>
      <w:marTop w:val="0"/>
      <w:marBottom w:val="0"/>
      <w:divBdr>
        <w:top w:val="none" w:sz="0" w:space="0" w:color="auto"/>
        <w:left w:val="none" w:sz="0" w:space="0" w:color="auto"/>
        <w:bottom w:val="none" w:sz="0" w:space="0" w:color="auto"/>
        <w:right w:val="none" w:sz="0" w:space="0" w:color="auto"/>
      </w:divBdr>
    </w:div>
    <w:div w:id="1446656318">
      <w:bodyDiv w:val="1"/>
      <w:marLeft w:val="0"/>
      <w:marRight w:val="0"/>
      <w:marTop w:val="0"/>
      <w:marBottom w:val="0"/>
      <w:divBdr>
        <w:top w:val="none" w:sz="0" w:space="0" w:color="auto"/>
        <w:left w:val="none" w:sz="0" w:space="0" w:color="auto"/>
        <w:bottom w:val="none" w:sz="0" w:space="0" w:color="auto"/>
        <w:right w:val="none" w:sz="0" w:space="0" w:color="auto"/>
      </w:divBdr>
    </w:div>
    <w:div w:id="1546411376">
      <w:bodyDiv w:val="1"/>
      <w:marLeft w:val="0"/>
      <w:marRight w:val="0"/>
      <w:marTop w:val="0"/>
      <w:marBottom w:val="0"/>
      <w:divBdr>
        <w:top w:val="none" w:sz="0" w:space="0" w:color="auto"/>
        <w:left w:val="none" w:sz="0" w:space="0" w:color="auto"/>
        <w:bottom w:val="none" w:sz="0" w:space="0" w:color="auto"/>
        <w:right w:val="none" w:sz="0" w:space="0" w:color="auto"/>
      </w:divBdr>
    </w:div>
    <w:div w:id="1565681633">
      <w:bodyDiv w:val="1"/>
      <w:marLeft w:val="0"/>
      <w:marRight w:val="0"/>
      <w:marTop w:val="0"/>
      <w:marBottom w:val="0"/>
      <w:divBdr>
        <w:top w:val="none" w:sz="0" w:space="0" w:color="auto"/>
        <w:left w:val="none" w:sz="0" w:space="0" w:color="auto"/>
        <w:bottom w:val="none" w:sz="0" w:space="0" w:color="auto"/>
        <w:right w:val="none" w:sz="0" w:space="0" w:color="auto"/>
      </w:divBdr>
    </w:div>
    <w:div w:id="1603414300">
      <w:bodyDiv w:val="1"/>
      <w:marLeft w:val="0"/>
      <w:marRight w:val="0"/>
      <w:marTop w:val="0"/>
      <w:marBottom w:val="0"/>
      <w:divBdr>
        <w:top w:val="none" w:sz="0" w:space="0" w:color="auto"/>
        <w:left w:val="none" w:sz="0" w:space="0" w:color="auto"/>
        <w:bottom w:val="none" w:sz="0" w:space="0" w:color="auto"/>
        <w:right w:val="none" w:sz="0" w:space="0" w:color="auto"/>
      </w:divBdr>
    </w:div>
    <w:div w:id="1606762628">
      <w:bodyDiv w:val="1"/>
      <w:marLeft w:val="0"/>
      <w:marRight w:val="0"/>
      <w:marTop w:val="0"/>
      <w:marBottom w:val="0"/>
      <w:divBdr>
        <w:top w:val="none" w:sz="0" w:space="0" w:color="auto"/>
        <w:left w:val="none" w:sz="0" w:space="0" w:color="auto"/>
        <w:bottom w:val="none" w:sz="0" w:space="0" w:color="auto"/>
        <w:right w:val="none" w:sz="0" w:space="0" w:color="auto"/>
      </w:divBdr>
    </w:div>
    <w:div w:id="1690063859">
      <w:bodyDiv w:val="1"/>
      <w:marLeft w:val="0"/>
      <w:marRight w:val="0"/>
      <w:marTop w:val="0"/>
      <w:marBottom w:val="0"/>
      <w:divBdr>
        <w:top w:val="none" w:sz="0" w:space="0" w:color="auto"/>
        <w:left w:val="none" w:sz="0" w:space="0" w:color="auto"/>
        <w:bottom w:val="none" w:sz="0" w:space="0" w:color="auto"/>
        <w:right w:val="none" w:sz="0" w:space="0" w:color="auto"/>
      </w:divBdr>
    </w:div>
    <w:div w:id="1696804703">
      <w:bodyDiv w:val="1"/>
      <w:marLeft w:val="0"/>
      <w:marRight w:val="0"/>
      <w:marTop w:val="0"/>
      <w:marBottom w:val="0"/>
      <w:divBdr>
        <w:top w:val="none" w:sz="0" w:space="0" w:color="auto"/>
        <w:left w:val="none" w:sz="0" w:space="0" w:color="auto"/>
        <w:bottom w:val="none" w:sz="0" w:space="0" w:color="auto"/>
        <w:right w:val="none" w:sz="0" w:space="0" w:color="auto"/>
      </w:divBdr>
    </w:div>
    <w:div w:id="1705787611">
      <w:bodyDiv w:val="1"/>
      <w:marLeft w:val="0"/>
      <w:marRight w:val="0"/>
      <w:marTop w:val="0"/>
      <w:marBottom w:val="0"/>
      <w:divBdr>
        <w:top w:val="none" w:sz="0" w:space="0" w:color="auto"/>
        <w:left w:val="none" w:sz="0" w:space="0" w:color="auto"/>
        <w:bottom w:val="none" w:sz="0" w:space="0" w:color="auto"/>
        <w:right w:val="none" w:sz="0" w:space="0" w:color="auto"/>
      </w:divBdr>
    </w:div>
    <w:div w:id="1712726772">
      <w:bodyDiv w:val="1"/>
      <w:marLeft w:val="0"/>
      <w:marRight w:val="0"/>
      <w:marTop w:val="0"/>
      <w:marBottom w:val="0"/>
      <w:divBdr>
        <w:top w:val="none" w:sz="0" w:space="0" w:color="auto"/>
        <w:left w:val="none" w:sz="0" w:space="0" w:color="auto"/>
        <w:bottom w:val="none" w:sz="0" w:space="0" w:color="auto"/>
        <w:right w:val="none" w:sz="0" w:space="0" w:color="auto"/>
      </w:divBdr>
    </w:div>
    <w:div w:id="1745179974">
      <w:bodyDiv w:val="1"/>
      <w:marLeft w:val="0"/>
      <w:marRight w:val="0"/>
      <w:marTop w:val="0"/>
      <w:marBottom w:val="0"/>
      <w:divBdr>
        <w:top w:val="none" w:sz="0" w:space="0" w:color="auto"/>
        <w:left w:val="none" w:sz="0" w:space="0" w:color="auto"/>
        <w:bottom w:val="none" w:sz="0" w:space="0" w:color="auto"/>
        <w:right w:val="none" w:sz="0" w:space="0" w:color="auto"/>
      </w:divBdr>
    </w:div>
    <w:div w:id="1757705167">
      <w:bodyDiv w:val="1"/>
      <w:marLeft w:val="0"/>
      <w:marRight w:val="0"/>
      <w:marTop w:val="0"/>
      <w:marBottom w:val="0"/>
      <w:divBdr>
        <w:top w:val="none" w:sz="0" w:space="0" w:color="auto"/>
        <w:left w:val="none" w:sz="0" w:space="0" w:color="auto"/>
        <w:bottom w:val="none" w:sz="0" w:space="0" w:color="auto"/>
        <w:right w:val="none" w:sz="0" w:space="0" w:color="auto"/>
      </w:divBdr>
    </w:div>
    <w:div w:id="1778869516">
      <w:bodyDiv w:val="1"/>
      <w:marLeft w:val="0"/>
      <w:marRight w:val="0"/>
      <w:marTop w:val="0"/>
      <w:marBottom w:val="0"/>
      <w:divBdr>
        <w:top w:val="none" w:sz="0" w:space="0" w:color="auto"/>
        <w:left w:val="none" w:sz="0" w:space="0" w:color="auto"/>
        <w:bottom w:val="none" w:sz="0" w:space="0" w:color="auto"/>
        <w:right w:val="none" w:sz="0" w:space="0" w:color="auto"/>
      </w:divBdr>
    </w:div>
    <w:div w:id="1783066175">
      <w:bodyDiv w:val="1"/>
      <w:marLeft w:val="0"/>
      <w:marRight w:val="0"/>
      <w:marTop w:val="0"/>
      <w:marBottom w:val="0"/>
      <w:divBdr>
        <w:top w:val="none" w:sz="0" w:space="0" w:color="auto"/>
        <w:left w:val="none" w:sz="0" w:space="0" w:color="auto"/>
        <w:bottom w:val="none" w:sz="0" w:space="0" w:color="auto"/>
        <w:right w:val="none" w:sz="0" w:space="0" w:color="auto"/>
      </w:divBdr>
    </w:div>
    <w:div w:id="1839612434">
      <w:bodyDiv w:val="1"/>
      <w:marLeft w:val="0"/>
      <w:marRight w:val="0"/>
      <w:marTop w:val="0"/>
      <w:marBottom w:val="0"/>
      <w:divBdr>
        <w:top w:val="none" w:sz="0" w:space="0" w:color="auto"/>
        <w:left w:val="none" w:sz="0" w:space="0" w:color="auto"/>
        <w:bottom w:val="none" w:sz="0" w:space="0" w:color="auto"/>
        <w:right w:val="none" w:sz="0" w:space="0" w:color="auto"/>
      </w:divBdr>
    </w:div>
    <w:div w:id="1845585422">
      <w:bodyDiv w:val="1"/>
      <w:marLeft w:val="0"/>
      <w:marRight w:val="0"/>
      <w:marTop w:val="0"/>
      <w:marBottom w:val="0"/>
      <w:divBdr>
        <w:top w:val="none" w:sz="0" w:space="0" w:color="auto"/>
        <w:left w:val="none" w:sz="0" w:space="0" w:color="auto"/>
        <w:bottom w:val="none" w:sz="0" w:space="0" w:color="auto"/>
        <w:right w:val="none" w:sz="0" w:space="0" w:color="auto"/>
      </w:divBdr>
    </w:div>
    <w:div w:id="1877039879">
      <w:bodyDiv w:val="1"/>
      <w:marLeft w:val="0"/>
      <w:marRight w:val="0"/>
      <w:marTop w:val="0"/>
      <w:marBottom w:val="0"/>
      <w:divBdr>
        <w:top w:val="none" w:sz="0" w:space="0" w:color="auto"/>
        <w:left w:val="none" w:sz="0" w:space="0" w:color="auto"/>
        <w:bottom w:val="none" w:sz="0" w:space="0" w:color="auto"/>
        <w:right w:val="none" w:sz="0" w:space="0" w:color="auto"/>
      </w:divBdr>
    </w:div>
    <w:div w:id="1886721179">
      <w:bodyDiv w:val="1"/>
      <w:marLeft w:val="0"/>
      <w:marRight w:val="0"/>
      <w:marTop w:val="0"/>
      <w:marBottom w:val="0"/>
      <w:divBdr>
        <w:top w:val="none" w:sz="0" w:space="0" w:color="auto"/>
        <w:left w:val="none" w:sz="0" w:space="0" w:color="auto"/>
        <w:bottom w:val="none" w:sz="0" w:space="0" w:color="auto"/>
        <w:right w:val="none" w:sz="0" w:space="0" w:color="auto"/>
      </w:divBdr>
    </w:div>
    <w:div w:id="1935703721">
      <w:bodyDiv w:val="1"/>
      <w:marLeft w:val="0"/>
      <w:marRight w:val="0"/>
      <w:marTop w:val="0"/>
      <w:marBottom w:val="0"/>
      <w:divBdr>
        <w:top w:val="none" w:sz="0" w:space="0" w:color="auto"/>
        <w:left w:val="none" w:sz="0" w:space="0" w:color="auto"/>
        <w:bottom w:val="none" w:sz="0" w:space="0" w:color="auto"/>
        <w:right w:val="none" w:sz="0" w:space="0" w:color="auto"/>
      </w:divBdr>
    </w:div>
    <w:div w:id="1947495245">
      <w:bodyDiv w:val="1"/>
      <w:marLeft w:val="0"/>
      <w:marRight w:val="0"/>
      <w:marTop w:val="0"/>
      <w:marBottom w:val="0"/>
      <w:divBdr>
        <w:top w:val="none" w:sz="0" w:space="0" w:color="auto"/>
        <w:left w:val="none" w:sz="0" w:space="0" w:color="auto"/>
        <w:bottom w:val="none" w:sz="0" w:space="0" w:color="auto"/>
        <w:right w:val="none" w:sz="0" w:space="0" w:color="auto"/>
      </w:divBdr>
    </w:div>
    <w:div w:id="1997103538">
      <w:bodyDiv w:val="1"/>
      <w:marLeft w:val="0"/>
      <w:marRight w:val="0"/>
      <w:marTop w:val="0"/>
      <w:marBottom w:val="0"/>
      <w:divBdr>
        <w:top w:val="none" w:sz="0" w:space="0" w:color="auto"/>
        <w:left w:val="none" w:sz="0" w:space="0" w:color="auto"/>
        <w:bottom w:val="none" w:sz="0" w:space="0" w:color="auto"/>
        <w:right w:val="none" w:sz="0" w:space="0" w:color="auto"/>
      </w:divBdr>
    </w:div>
    <w:div w:id="2017682138">
      <w:bodyDiv w:val="1"/>
      <w:marLeft w:val="0"/>
      <w:marRight w:val="0"/>
      <w:marTop w:val="0"/>
      <w:marBottom w:val="0"/>
      <w:divBdr>
        <w:top w:val="none" w:sz="0" w:space="0" w:color="auto"/>
        <w:left w:val="none" w:sz="0" w:space="0" w:color="auto"/>
        <w:bottom w:val="none" w:sz="0" w:space="0" w:color="auto"/>
        <w:right w:val="none" w:sz="0" w:space="0" w:color="auto"/>
      </w:divBdr>
    </w:div>
    <w:div w:id="2031835220">
      <w:bodyDiv w:val="1"/>
      <w:marLeft w:val="0"/>
      <w:marRight w:val="0"/>
      <w:marTop w:val="0"/>
      <w:marBottom w:val="0"/>
      <w:divBdr>
        <w:top w:val="none" w:sz="0" w:space="0" w:color="auto"/>
        <w:left w:val="none" w:sz="0" w:space="0" w:color="auto"/>
        <w:bottom w:val="none" w:sz="0" w:space="0" w:color="auto"/>
        <w:right w:val="none" w:sz="0" w:space="0" w:color="auto"/>
      </w:divBdr>
    </w:div>
    <w:div w:id="2035379552">
      <w:bodyDiv w:val="1"/>
      <w:marLeft w:val="0"/>
      <w:marRight w:val="0"/>
      <w:marTop w:val="0"/>
      <w:marBottom w:val="0"/>
      <w:divBdr>
        <w:top w:val="none" w:sz="0" w:space="0" w:color="auto"/>
        <w:left w:val="none" w:sz="0" w:space="0" w:color="auto"/>
        <w:bottom w:val="none" w:sz="0" w:space="0" w:color="auto"/>
        <w:right w:val="none" w:sz="0" w:space="0" w:color="auto"/>
      </w:divBdr>
    </w:div>
    <w:div w:id="2052149541">
      <w:bodyDiv w:val="1"/>
      <w:marLeft w:val="0"/>
      <w:marRight w:val="0"/>
      <w:marTop w:val="0"/>
      <w:marBottom w:val="0"/>
      <w:divBdr>
        <w:top w:val="none" w:sz="0" w:space="0" w:color="auto"/>
        <w:left w:val="none" w:sz="0" w:space="0" w:color="auto"/>
        <w:bottom w:val="none" w:sz="0" w:space="0" w:color="auto"/>
        <w:right w:val="none" w:sz="0" w:space="0" w:color="auto"/>
      </w:divBdr>
    </w:div>
    <w:div w:id="2069305431">
      <w:bodyDiv w:val="1"/>
      <w:marLeft w:val="0"/>
      <w:marRight w:val="0"/>
      <w:marTop w:val="0"/>
      <w:marBottom w:val="0"/>
      <w:divBdr>
        <w:top w:val="none" w:sz="0" w:space="0" w:color="auto"/>
        <w:left w:val="none" w:sz="0" w:space="0" w:color="auto"/>
        <w:bottom w:val="none" w:sz="0" w:space="0" w:color="auto"/>
        <w:right w:val="none" w:sz="0" w:space="0" w:color="auto"/>
      </w:divBdr>
    </w:div>
    <w:div w:id="20870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s6454\AppData\Local\Microsoft\Windows\Temporary%20Internet%20Files\Content.Outlook\SZQU2ZO1\TEMPLATE%20SENTENCIA-RESOLUCION%20-%20TRIBUNAL%20DE%20APELACIONES%20(2015)%20-%20VERSION%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810">
          <a:solidFill>
            <a:schemeClr val="tx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C3AD-4BDF-4C04-B91E-F80CC5D3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SENTENCIA-RESOLUCION - TRIBUNAL DE APELACIONES (2015) - VERSION 6</Template>
  <TotalTime>69</TotalTime>
  <Pages>1</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Administración de Tribunales</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creator>Wanda Rodriguez Serrano</dc:creator>
  <cp:lastModifiedBy>Dora Mont Rivera</cp:lastModifiedBy>
  <cp:revision>11</cp:revision>
  <cp:lastPrinted>2021-05-26T18:38:00Z</cp:lastPrinted>
  <dcterms:created xsi:type="dcterms:W3CDTF">2021-05-26T15:39:00Z</dcterms:created>
  <dcterms:modified xsi:type="dcterms:W3CDTF">2021-05-26T18:40:00Z</dcterms:modified>
</cp:coreProperties>
</file>